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15"/>
      <w:bookmarkStart w:id="2" w:name="OLE_LINK1"/>
      <w:bookmarkStart w:id="3" w:name="OLE_LINK2"/>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107bis-e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2200260</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January 17</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25</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PDCCH monitoring enhancements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rFonts w:hint="eastAsia"/>
          <w:lang w:val="en-US"/>
        </w:rPr>
      </w:pPr>
      <w:bookmarkStart w:id="5" w:name="_Hlk58595024"/>
      <w:r>
        <w:rPr>
          <w:rFonts w:hint="eastAsia"/>
          <w:lang w:val="en-US"/>
        </w:rPr>
        <w:t>In the RAN1 #10</w:t>
      </w:r>
      <w:r>
        <w:rPr>
          <w:rFonts w:hint="eastAsia" w:eastAsia="宋体"/>
          <w:lang w:val="en-US" w:eastAsia="zh-CN"/>
        </w:rPr>
        <w:t>7</w:t>
      </w:r>
      <w:r>
        <w:rPr>
          <w:rFonts w:hint="eastAsia"/>
          <w:lang w:val="en-US"/>
        </w:rPr>
        <w:t xml:space="preserve"> e-meeting in </w:t>
      </w:r>
      <w:r>
        <w:rPr>
          <w:rFonts w:hint="eastAsia" w:eastAsia="宋体"/>
          <w:lang w:val="en-US" w:eastAsia="zh-CN"/>
        </w:rPr>
        <w:t xml:space="preserve">November </w:t>
      </w:r>
      <w:r>
        <w:rPr>
          <w:rFonts w:hint="eastAsia"/>
          <w:lang w:val="en-US"/>
        </w:rPr>
        <w:t>2021, the following agreement</w:t>
      </w:r>
      <w:r>
        <w:rPr>
          <w:rFonts w:hint="eastAsia" w:eastAsia="宋体"/>
          <w:lang w:val="en-US" w:eastAsia="zh-CN"/>
        </w:rPr>
        <w:t>s</w:t>
      </w:r>
      <w:r>
        <w:rPr>
          <w:rFonts w:hint="eastAsia"/>
          <w:lang w:val="en-US"/>
        </w:rPr>
        <w:t xml:space="preserve"> related to </w:t>
      </w:r>
      <w:r>
        <w:rPr>
          <w:rFonts w:hint="eastAsia" w:eastAsia="宋体"/>
          <w:lang w:val="en-US" w:eastAsia="zh-CN"/>
        </w:rPr>
        <w:t>PDCCH monitoring [1]</w:t>
      </w:r>
      <w:r>
        <w:rPr>
          <w:rFonts w:hint="eastAsia"/>
          <w:lang w:val="en-US"/>
        </w:rPr>
        <w:t xml:space="preserve"> </w:t>
      </w:r>
      <w:r>
        <w:rPr>
          <w:rFonts w:hint="eastAsia" w:eastAsia="宋体"/>
          <w:lang w:val="en-US" w:eastAsia="zh-CN"/>
        </w:rPr>
        <w:t xml:space="preserve">were </w:t>
      </w:r>
      <w:r>
        <w:rPr>
          <w:rFonts w:hint="eastAsia"/>
          <w:lang w:val="en-US"/>
        </w:rPr>
        <w:t>reached.</w:t>
      </w:r>
    </w:p>
    <w:p>
      <w:pPr>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b/>
          <w:iCs/>
          <w:sz w:val="20"/>
          <w:szCs w:val="20"/>
        </w:rPr>
      </w:pPr>
      <w:r>
        <w:rPr>
          <w:rFonts w:hint="default" w:ascii="Times New Roman" w:hAnsi="Times New Roman" w:cs="Times New Roman"/>
          <w:b/>
          <w:iCs/>
          <w:sz w:val="20"/>
          <w:szCs w:val="20"/>
          <w:highlight w:val="green"/>
        </w:rPr>
        <w:t>Agreement</w:t>
      </w:r>
    </w:p>
    <w:p>
      <w:pPr>
        <w:pageBreakBefore w:val="0"/>
        <w:widowControl/>
        <w:numPr>
          <w:ilvl w:val="0"/>
          <w:numId w:val="11"/>
        </w:numPr>
        <w:kinsoku/>
        <w:wordWrap/>
        <w:overflowPunct/>
        <w:topLinePunct w:val="0"/>
        <w:autoSpaceDE/>
        <w:autoSpaceDN/>
        <w:bidi w:val="0"/>
        <w:adjustRightInd/>
        <w:spacing w:after="0" w:line="260" w:lineRule="auto"/>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following limits apply for multi-slot monitoring within the group of X slots</w:t>
      </w:r>
    </w:p>
    <w:p>
      <w:pPr>
        <w:pageBreakBefore w:val="0"/>
        <w:widowControl/>
        <w:numPr>
          <w:ilvl w:val="1"/>
          <w:numId w:val="11"/>
        </w:numPr>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lang w:val="en-US"/>
        </w:rPr>
        <w:t>The maximum number of monitored PDCCH candidates per X=4 slots for a DL BWP with 480 kHz SCS configuration for a single serving cell is 20.</w:t>
      </w:r>
    </w:p>
    <w:p>
      <w:pPr>
        <w:pageBreakBefore w:val="0"/>
        <w:widowControl/>
        <w:numPr>
          <w:ilvl w:val="1"/>
          <w:numId w:val="11"/>
        </w:numPr>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lang w:val="en-US"/>
        </w:rPr>
        <w:t>The maximum number of monitored PDCCH candidates per X=8 slots for a DL BWP with 960 kHz SCS configuration for a single serving cell is 20.</w:t>
      </w:r>
    </w:p>
    <w:p>
      <w:pPr>
        <w:pageBreakBefore w:val="0"/>
        <w:widowControl/>
        <w:numPr>
          <w:ilvl w:val="1"/>
          <w:numId w:val="11"/>
        </w:numPr>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lang w:val="en-US"/>
        </w:rPr>
        <w:t>The maximum number of non-overlapped CCEs per X=4 slots for a DL BWP with 480 kHz SCS configuration for a single serving cell is 32.</w:t>
      </w:r>
    </w:p>
    <w:p>
      <w:pPr>
        <w:pageBreakBefore w:val="0"/>
        <w:widowControl/>
        <w:numPr>
          <w:ilvl w:val="1"/>
          <w:numId w:val="11"/>
        </w:numPr>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lang w:val="en-US"/>
        </w:rPr>
        <w:t>The maximum number of non-overlapped CCEs per X=8 slots for a DL BWP with 960 kHz SCS configuration for a single serving cell is 32.</w:t>
      </w:r>
    </w:p>
    <w:p>
      <w:pPr>
        <w:keepNext w:val="0"/>
        <w:keepLines w:val="0"/>
        <w:pageBreakBefore w:val="0"/>
        <w:widowControl/>
        <w:numPr>
          <w:ilvl w:val="0"/>
          <w:numId w:val="11"/>
        </w:numPr>
        <w:kinsoku/>
        <w:wordWrap/>
        <w:overflowPunct/>
        <w:topLinePunct w:val="0"/>
        <w:autoSpaceDE/>
        <w:autoSpaceDN/>
        <w:bidi w:val="0"/>
        <w:adjustRightInd/>
        <w:snapToGrid/>
        <w:spacing w:after="180" w:line="260" w:lineRule="auto"/>
        <w:ind w:left="726" w:hanging="363"/>
        <w:textAlignment w:val="auto"/>
        <w:rPr>
          <w:rFonts w:hint="default" w:ascii="Times New Roman" w:hAnsi="Times New Roman" w:cs="Times New Roman"/>
          <w:sz w:val="20"/>
          <w:szCs w:val="20"/>
        </w:rPr>
      </w:pPr>
      <w:r>
        <w:rPr>
          <w:rFonts w:hint="default" w:ascii="Times New Roman" w:hAnsi="Times New Roman" w:cs="Times New Roman"/>
          <w:bCs/>
          <w:sz w:val="20"/>
          <w:szCs w:val="20"/>
          <w:lang w:val="en-US"/>
        </w:rPr>
        <w:t>Note: Search spaces monitoring within the group of X slots will be additionally defined</w:t>
      </w:r>
    </w:p>
    <w:p>
      <w:pPr>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b/>
          <w:sz w:val="20"/>
          <w:szCs w:val="20"/>
        </w:rPr>
      </w:pPr>
      <w:bookmarkStart w:id="6" w:name="_Hlk88187306"/>
      <w:r>
        <w:rPr>
          <w:rFonts w:hint="default" w:ascii="Times New Roman" w:hAnsi="Times New Roman" w:cs="Times New Roman"/>
          <w:b/>
          <w:sz w:val="20"/>
          <w:szCs w:val="20"/>
          <w:highlight w:val="green"/>
        </w:rPr>
        <w:t>Agreement</w:t>
      </w:r>
    </w:p>
    <w:p>
      <w:pPr>
        <w:pStyle w:val="125"/>
        <w:pageBreakBefore w:val="0"/>
        <w:widowControl/>
        <w:numPr>
          <w:ilvl w:val="0"/>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Group (1) SS: </w:t>
      </w:r>
      <w:r>
        <w:rPr>
          <w:rFonts w:hint="default" w:ascii="Times New Roman" w:hAnsi="Times New Roman" w:cs="Times New Roman"/>
          <w:sz w:val="20"/>
          <w:szCs w:val="20"/>
          <w:lang w:eastAsia="zh-CN"/>
        </w:rPr>
        <w:t>Type 1 CSS with dedicated RRC configuration and type 3 CSS, UE specific SS</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A SS is monitored within Y consecutive slots within a slot group of X slots</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Y consecutive slots can be located anywhere within the slot group of X slots</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There is no requirement to align the Y consecutive slots across UEs or with slot n0</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location of the Y consecutive slots within the slot group of X slots is maintained across different slot groups</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BD attempts for all Group (1) SSs are restricted to fall within the same Y consecutive slots</w:t>
      </w:r>
    </w:p>
    <w:p>
      <w:pPr>
        <w:pStyle w:val="125"/>
        <w:pageBreakBefore w:val="0"/>
        <w:widowControl/>
        <w:numPr>
          <w:ilvl w:val="0"/>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Group (2) SS: </w:t>
      </w:r>
      <w:r>
        <w:rPr>
          <w:rFonts w:hint="default" w:ascii="Times New Roman" w:hAnsi="Times New Roman" w:cs="Times New Roman"/>
          <w:sz w:val="20"/>
          <w:szCs w:val="20"/>
          <w:lang w:eastAsia="zh-CN"/>
        </w:rPr>
        <w:t>Type 1 CSS without dedicated RRC configuration and type 0, 0A, and 2 CSS</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SS monitoring locations can be anywhere within a slot group of X slots, with the following exception</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BD attempts for Type0-CSS</w:t>
      </w:r>
      <w:r>
        <w:rPr>
          <w:rFonts w:hint="default" w:ascii="Times New Roman" w:hAnsi="Times New Roman" w:cs="Times New Roman"/>
          <w:sz w:val="20"/>
          <w:szCs w:val="20"/>
          <w:lang w:eastAsia="zh-CN"/>
        </w:rPr>
        <w:t xml:space="preserve"> for SSB/CORESET 0 multiplexing pattern 1</w:t>
      </w:r>
      <w:r>
        <w:rPr>
          <w:rFonts w:hint="default" w:ascii="Times New Roman" w:hAnsi="Times New Roman" w:cs="Times New Roman"/>
          <w:sz w:val="20"/>
          <w:szCs w:val="20"/>
        </w:rPr>
        <w:t xml:space="preserve">, and additionally for Type0A/2-CSS if </w:t>
      </w:r>
      <w:r>
        <w:rPr>
          <w:rFonts w:hint="default" w:ascii="Times New Roman" w:hAnsi="Times New Roman" w:cs="Times New Roman"/>
          <w:i/>
          <w:iCs/>
          <w:sz w:val="20"/>
          <w:szCs w:val="20"/>
        </w:rPr>
        <w:t>searchSpaceId</w:t>
      </w:r>
      <w:r>
        <w:rPr>
          <w:rFonts w:hint="default" w:ascii="Times New Roman" w:hAnsi="Times New Roman" w:cs="Times New Roman"/>
          <w:sz w:val="20"/>
          <w:szCs w:val="20"/>
        </w:rPr>
        <w:t xml:space="preserve"> = 0, occur in slots with index n0 and n0+X0, where n0 is as in Rel-15, X0=4 for 480 kHz SCS and X0=8 for 960 kHz SCS.</w:t>
      </w:r>
    </w:p>
    <w:p>
      <w:pPr>
        <w:pStyle w:val="125"/>
        <w:pageBreakBefore w:val="0"/>
        <w:widowControl/>
        <w:numPr>
          <w:ilvl w:val="0"/>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Supported combinations of (X,Y)</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A UE capable of multi-slot monitoring mandatorily supports</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SCS 480 kHz: (X,Y) = (4,1)</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SCS 960 kHz: (X,Y) = (8,1)</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A UE capable of multi-slot monitoring optionally supports</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SCS 480 kHz: (X,Y) = (4,2)</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SCS 960 kHz: (X,Y) = (8,4), (4,2), (4,1)</w:t>
      </w:r>
    </w:p>
    <w:p>
      <w:pPr>
        <w:pStyle w:val="125"/>
        <w:pageBreakBefore w:val="0"/>
        <w:widowControl/>
        <w:numPr>
          <w:ilvl w:val="3"/>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r>
        <w:rPr>
          <w:rFonts w:hint="default" w:ascii="Times New Roman" w:hAnsi="Times New Roman" w:cs="Times New Roman"/>
          <w:sz w:val="20"/>
          <w:szCs w:val="20"/>
        </w:rPr>
        <w:t xml:space="preserve"> BD/CCE budget for (4,2), (4,1) is half that of X=8</w:t>
      </w:r>
    </w:p>
    <w:p>
      <w:pPr>
        <w:pStyle w:val="125"/>
        <w:pageBreakBefore w:val="0"/>
        <w:widowControl/>
        <w:numPr>
          <w:ilvl w:val="0"/>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A UE capable of multi-slot monitoring mandatorily supports the following PDCCH monitoring within Y slots</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Y&gt;1: FG3-1 (monitoring Group (1) SSs in the first 3 OFDM symbols of each of the Y slots)</w:t>
      </w:r>
    </w:p>
    <w:bookmarkEnd w:id="6"/>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960 kHz SCS For Y=1: FG3-5b with </w:t>
      </w:r>
      <w:r>
        <w:rPr>
          <w:rFonts w:hint="default" w:ascii="Times New Roman" w:hAnsi="Times New Roman" w:cs="Times New Roman"/>
          <w:i/>
          <w:sz w:val="20"/>
          <w:szCs w:val="20"/>
        </w:rPr>
        <w:t>set1</w:t>
      </w:r>
      <w:r>
        <w:rPr>
          <w:rFonts w:hint="default" w:ascii="Times New Roman" w:hAnsi="Times New Roman" w:cs="Times New Roman"/>
          <w:sz w:val="20"/>
          <w:szCs w:val="20"/>
        </w:rPr>
        <w:t xml:space="preserve"> = (7, 3)</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[FL Note: The first number is the minimum gap in symbols between the start of two spans, the second number is the span duration in symbols (cf. TS 38.822)]</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480 kHz SCS For Y=1: FG3-5b with </w:t>
      </w:r>
      <w:r>
        <w:rPr>
          <w:rFonts w:hint="default" w:ascii="Times New Roman" w:hAnsi="Times New Roman" w:cs="Times New Roman"/>
          <w:i/>
          <w:sz w:val="20"/>
          <w:szCs w:val="20"/>
        </w:rPr>
        <w:t>set2</w:t>
      </w:r>
      <w:r>
        <w:rPr>
          <w:rFonts w:hint="default" w:ascii="Times New Roman" w:hAnsi="Times New Roman" w:cs="Times New Roman"/>
          <w:sz w:val="20"/>
          <w:szCs w:val="20"/>
        </w:rPr>
        <w:t xml:space="preserve"> = (4, 3) and (7, 3) with a modification with maximum two monitoring spans in a slot</w:t>
      </w:r>
    </w:p>
    <w:p>
      <w:pPr>
        <w:pStyle w:val="125"/>
        <w:pageBreakBefore w:val="0"/>
        <w:widowControl/>
        <w:numPr>
          <w:ilvl w:val="2"/>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[FL Note: The first number is the minimum gap in symbols between the start of two spans, the second number is the span duration in symbols (cf. TS 38.822)]</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following supersedes FG3-5b and FG3-1 definition:</w:t>
      </w:r>
    </w:p>
    <w:p>
      <w:pPr>
        <w:pStyle w:val="125"/>
        <w:pageBreakBefore w:val="0"/>
        <w:widowControl/>
        <w:numPr>
          <w:ilvl w:val="1"/>
          <w:numId w:val="12"/>
        </w:numPr>
        <w:kinsoku/>
        <w:wordWrap/>
        <w:overflowPunct/>
        <w:topLinePunct w:val="0"/>
        <w:autoSpaceDE/>
        <w:autoSpaceDN/>
        <w:bidi w:val="0"/>
        <w:adjustRightInd/>
        <w:snapToGrid w:val="0"/>
        <w:spacing w:after="0" w:line="260" w:lineRule="auto"/>
        <w:ind w:left="1480" w:leftChars="740"/>
        <w:textAlignment w:val="auto"/>
        <w:rPr>
          <w:rFonts w:hint="default" w:ascii="Times New Roman" w:hAnsi="Times New Roman" w:cs="Times New Roman"/>
          <w:sz w:val="20"/>
          <w:szCs w:val="20"/>
        </w:rPr>
      </w:pPr>
      <w:r>
        <w:rPr>
          <w:rFonts w:hint="default" w:ascii="Times New Roman" w:hAnsi="Times New Roman" w:cs="Times New Roman"/>
          <w:sz w:val="20"/>
          <w:szCs w:val="20"/>
        </w:rPr>
        <w:t>Processing one unicast DCI scheduling DL and one unicast DCI scheduling UL per slot group of X slots per scheduled CC for FDD</w:t>
      </w:r>
    </w:p>
    <w:p>
      <w:pPr>
        <w:pStyle w:val="125"/>
        <w:numPr>
          <w:ilvl w:val="1"/>
          <w:numId w:val="12"/>
        </w:numPr>
        <w:snapToGrid w:val="0"/>
        <w:spacing w:after="180" w:line="260" w:lineRule="auto"/>
        <w:ind w:left="1843" w:leftChars="740" w:hanging="363"/>
        <w:rPr>
          <w:rFonts w:hint="default" w:ascii="Times New Roman" w:hAnsi="Times New Roman" w:cs="Times New Roman"/>
          <w:sz w:val="20"/>
          <w:szCs w:val="20"/>
        </w:rPr>
      </w:pPr>
      <w:r>
        <w:rPr>
          <w:rFonts w:hint="default" w:ascii="Times New Roman" w:hAnsi="Times New Roman" w:cs="Times New Roman"/>
          <w:sz w:val="20"/>
          <w:szCs w:val="20"/>
        </w:rPr>
        <w:t>Processing one unicast DCI scheduling DL and 2 unicast DCI scheduling UL per slot group of X slots per scheduled CC for TDD</w:t>
      </w:r>
    </w:p>
    <w:p>
      <w:pPr>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p>
    <w:p>
      <w:pPr>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following values are adopted as minimum value of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25"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0D2B&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5E0D2B&quot; wsp:rsidP=&quot;005E0D2B&quot;&gt;&lt;m:oMathPara&gt;&lt;m:oMath&gt;&lt;m:sSub&gt;&lt;m:sSubPr&gt;&lt;m:ctrlPr&gt;&lt;w:rPr&gt;&lt;w:rFonts w:ascii=&quot;Cambria Math&quot; w:h-ansi=&quot;Cambria Math&quot;/&gt;&lt;wx:font wx:val=&quot;Cambria Math&quot;/&gt;&lt;w:i/&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w:r>
        <w:rPr>
          <w:rFonts w:hint="default" w:ascii="Times New Roman" w:hAnsi="Times New Roman" w:cs="Times New Roman"/>
          <w:position w:val="-5"/>
          <w:sz w:val="20"/>
          <w:szCs w:val="20"/>
        </w:rPr>
        <w:pict>
          <v:shape id="_x0000_i1026"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0D2B&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5E0D2B&quot; wsp:rsidP=&quot;005E0D2B&quot;&gt;&lt;m:oMathPara&gt;&lt;m:oMath&gt;&lt;m:sSub&gt;&lt;m:sSubPr&gt;&lt;m:ctrlPr&gt;&lt;w:rPr&gt;&lt;w:rFonts w:ascii=&quot;Cambria Math&quot; w:h-ansi=&quot;Cambria Math&quot;/&gt;&lt;wx:font wx:val=&quot;Cambria Math&quot;/&gt;&lt;w:i/&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for 120/480/960 kHz</w:t>
      </w:r>
    </w:p>
    <w:p>
      <w:pPr>
        <w:pStyle w:val="125"/>
        <w:pageBreakBefore w:val="0"/>
        <w:widowControl/>
        <w:numPr>
          <w:ilvl w:val="0"/>
          <w:numId w:val="13"/>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Support only search space set group switching processing capability 1 with the following values</w:t>
      </w:r>
    </w:p>
    <w:p>
      <w:pPr>
        <w:pStyle w:val="125"/>
        <w:pageBreakBefore w:val="0"/>
        <w:widowControl/>
        <w:kinsoku/>
        <w:wordWrap/>
        <w:overflowPunct/>
        <w:topLinePunct w:val="0"/>
        <w:autoSpaceDE/>
        <w:autoSpaceDN/>
        <w:bidi w:val="0"/>
        <w:adjustRightInd/>
        <w:snapToGrid w:val="0"/>
        <w:spacing w:after="0" w:line="260" w:lineRule="auto"/>
        <w:ind w:left="1440" w:leftChars="0"/>
        <w:textAlignment w:val="auto"/>
        <w:rPr>
          <w:rFonts w:hint="default" w:ascii="Times New Roman" w:hAnsi="Times New Roman" w:cs="Times New Roman"/>
          <w:sz w:val="20"/>
          <w:szCs w:val="20"/>
        </w:rPr>
      </w:pPr>
    </w:p>
    <w:tbl>
      <w:tblPr>
        <w:tblStyle w:val="25"/>
        <w:tblW w:w="0" w:type="auto"/>
        <w:tblInd w:w="16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noWrap w:val="0"/>
            <w:vAlign w:val="center"/>
          </w:tcPr>
          <w:p>
            <w:pPr>
              <w:pStyle w:val="47"/>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m:oMathPara>
              <m:oMath>
                <m:r>
                  <m:rPr>
                    <m:sty m:val="bi"/>
                  </m:rPr>
                  <w:rPr>
                    <w:rFonts w:hint="default" w:ascii="Cambria Math" w:hAnsi="Cambria Math" w:cs="Times New Roman"/>
                    <w:sz w:val="20"/>
                    <w:szCs w:val="20"/>
                  </w:rPr>
                  <m:t>μ</m:t>
                </m:r>
              </m:oMath>
            </m:oMathPara>
          </w:p>
        </w:tc>
        <w:tc>
          <w:tcPr>
            <w:tcW w:w="3385" w:type="dxa"/>
            <w:shd w:val="clear" w:color="auto" w:fill="E0E0E0"/>
            <w:noWrap w:val="0"/>
            <w:vAlign w:val="center"/>
          </w:tcPr>
          <w:p>
            <w:pPr>
              <w:pStyle w:val="47"/>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Minimum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27" o:spt="75" type="#_x0000_t75" style="height:10.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869F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6869F0&quot; wsp:rsidP=&quot;006869F0&quot;&gt;&lt;m:oMathPara&gt;&lt;m:oMath&gt;&lt;m:sSub&gt;&lt;m:sSubPr&gt;&lt;m:ctrlPr&gt;&lt;w:rPr&gt;&lt;w:rFonts w:ascii=&quot;Cambria Math&quot; w:h-ansi=&quot;Cambria Math&quot; w:cs=&quot;Arial&quot;/&gt;&lt;wx:font wx:val=&quot;Cambria Math&quot;/&gt;&lt;w:sz-cs w:val=&quot;18&quot;/&gt;&lt;/w:rPr&gt;&lt;/m:ctrlPr&gt;&lt;/m:sSubPr&gt;&lt;m:e&gt;&lt;m:r&gt;&lt;m:rPr&gt;&lt;m:sty m:val=&quot;b&quot;/&gt;&lt;/m:rPr&gt;&lt;w:rPr&gt;&lt;w:rFonts w:ascii=&quot;Cambria Math&quot; w:h-ansi=&quot;Cambria Math&quot; w:cs=&quot;Arial&quot;/&gt;&lt;wx:font wx:val=&quot;Cambria Math&quot;/&gt;&lt;w:b/&gt;&lt;w:b-cs/&gt;&lt;w:sz-cs w:val=&quot;18&quot;/&gt;&lt;/w:rPr&gt;&lt;m:t&gt;P&lt;/m:t&gt;&lt;/m:r&gt;&lt;/m:e&gt;&lt;m:sub&gt;&lt;m:r&gt;&lt;m:rPr&gt;&lt;m:sty m:val=&quot;b&quot;/&gt;&lt;/m:rPr&gt;&lt;w:rPr&gt;&lt;w:rFonts w:ascii=&quot;Cambria Math&quot; w:h-ansi=&quot;Cambria Math&quot; w:cs=&quot;Arial&quot;/&gt;&lt;wx:font wx:val=&quot;Cambria Math&quot;/&gt;&lt;w:b/&gt;&lt;w:b-cs/&gt;&lt;w:sz-cs w:val=&quot;18&quot;/&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w:r>
              <w:rPr>
                <w:rFonts w:hint="default" w:ascii="Times New Roman" w:hAnsi="Times New Roman" w:cs="Times New Roman"/>
                <w:position w:val="-5"/>
                <w:sz w:val="20"/>
                <w:szCs w:val="20"/>
              </w:rPr>
              <w:pict>
                <v:shape id="_x0000_i1028" o:spt="75" type="#_x0000_t75" style="height:10.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869F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6869F0&quot; wsp:rsidP=&quot;006869F0&quot;&gt;&lt;m:oMathPara&gt;&lt;m:oMath&gt;&lt;m:sSub&gt;&lt;m:sSubPr&gt;&lt;m:ctrlPr&gt;&lt;w:rPr&gt;&lt;w:rFonts w:ascii=&quot;Cambria Math&quot; w:h-ansi=&quot;Cambria Math&quot; w:cs=&quot;Arial&quot;/&gt;&lt;wx:font wx:val=&quot;Cambria Math&quot;/&gt;&lt;w:sz-cs w:val=&quot;18&quot;/&gt;&lt;/w:rPr&gt;&lt;/m:ctrlPr&gt;&lt;/m:sSubPr&gt;&lt;m:e&gt;&lt;m:r&gt;&lt;m:rPr&gt;&lt;m:sty m:val=&quot;b&quot;/&gt;&lt;/m:rPr&gt;&lt;w:rPr&gt;&lt;w:rFonts w:ascii=&quot;Cambria Math&quot; w:h-ansi=&quot;Cambria Math&quot; w:cs=&quot;Arial&quot;/&gt;&lt;wx:font wx:val=&quot;Cambria Math&quot;/&gt;&lt;w:b/&gt;&lt;w:b-cs/&gt;&lt;w:sz-cs w:val=&quot;18&quot;/&gt;&lt;/w:rPr&gt;&lt;m:t&gt;P&lt;/m:t&gt;&lt;/m:r&gt;&lt;/m:e&gt;&lt;m:sub&gt;&lt;m:r&gt;&lt;m:rPr&gt;&lt;m:sty m:val=&quot;b&quot;/&gt;&lt;/m:rPr&gt;&lt;w:rPr&gt;&lt;w:rFonts w:ascii=&quot;Cambria Math&quot; w:h-ansi=&quot;Cambria Math&quot; w:cs=&quot;Arial&quot;/&gt;&lt;wx:font wx:val=&quot;Cambria Math&quot;/&gt;&lt;w:b/&gt;&lt;w:b-cs/&gt;&lt;w:sz-cs w:val=&quot;18&quot;/&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value for</w:t>
            </w:r>
          </w:p>
          <w:p>
            <w:pPr>
              <w:pStyle w:val="47"/>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 UE processing </w:t>
            </w:r>
            <w:r>
              <w:rPr>
                <w:rFonts w:hint="default" w:ascii="Times New Roman" w:hAnsi="Times New Roman" w:cs="Times New Roman"/>
                <w:sz w:val="20"/>
                <w:szCs w:val="20"/>
                <w:lang w:eastAsia="zh-CN"/>
              </w:rPr>
              <w:t>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w:t>
            </w:r>
          </w:p>
        </w:tc>
        <w:tc>
          <w:tcPr>
            <w:tcW w:w="3385"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5</w:t>
            </w:r>
          </w:p>
        </w:tc>
        <w:tc>
          <w:tcPr>
            <w:tcW w:w="3385"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6</w:t>
            </w:r>
          </w:p>
        </w:tc>
        <w:tc>
          <w:tcPr>
            <w:tcW w:w="3385" w:type="dxa"/>
            <w:noWrap w:val="0"/>
            <w:vAlign w:val="center"/>
          </w:tcPr>
          <w:p>
            <w:pPr>
              <w:pStyle w:val="48"/>
              <w:pageBreakBefore w:val="0"/>
              <w:widowControl/>
              <w:kinsoku/>
              <w:wordWrap/>
              <w:overflowPunct/>
              <w:topLinePunct w:val="0"/>
              <w:autoSpaceDE/>
              <w:autoSpaceDN/>
              <w:bidi w:val="0"/>
              <w:adjustRightInd/>
              <w:spacing w:after="0" w:line="26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320</w:t>
            </w:r>
          </w:p>
        </w:tc>
      </w:tr>
    </w:tbl>
    <w:p>
      <w:pPr>
        <w:keepNext w:val="0"/>
        <w:keepLines w:val="0"/>
        <w:pageBreakBefore w:val="0"/>
        <w:widowControl/>
        <w:kinsoku/>
        <w:wordWrap/>
        <w:overflowPunct/>
        <w:topLinePunct w:val="0"/>
        <w:autoSpaceDE/>
        <w:autoSpaceDN/>
        <w:bidi w:val="0"/>
        <w:adjustRightInd/>
        <w:snapToGrid/>
        <w:spacing w:before="180" w:after="0" w:line="260" w:lineRule="auto"/>
        <w:textAlignment w:val="auto"/>
        <w:rPr>
          <w:rFonts w:hint="default" w:ascii="Times New Roman" w:hAnsi="Times New Roman" w:cs="Times New Roman"/>
          <w:b/>
          <w:sz w:val="20"/>
          <w:szCs w:val="20"/>
          <w:lang w:val="de-DE"/>
        </w:rPr>
      </w:pPr>
      <w:r>
        <w:rPr>
          <w:rFonts w:hint="default" w:ascii="Times New Roman" w:hAnsi="Times New Roman" w:cs="Times New Roman"/>
          <w:b/>
          <w:sz w:val="20"/>
          <w:szCs w:val="20"/>
          <w:highlight w:val="green"/>
          <w:lang w:val="de-DE"/>
        </w:rPr>
        <w:t>Agreement</w:t>
      </w:r>
    </w:p>
    <w:p>
      <w:pPr>
        <w:pStyle w:val="125"/>
        <w:pageBreakBefore w:val="0"/>
        <w:widowControl/>
        <w:numPr>
          <w:ilvl w:val="0"/>
          <w:numId w:val="13"/>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pPr>
        <w:pStyle w:val="125"/>
        <w:pageBreakBefore w:val="0"/>
        <w:widowControl/>
        <w:numPr>
          <w:ilvl w:val="0"/>
          <w:numId w:val="13"/>
        </w:numPr>
        <w:kinsoku/>
        <w:wordWrap/>
        <w:overflowPunct/>
        <w:topLinePunct w:val="0"/>
        <w:autoSpaceDE/>
        <w:autoSpaceDN/>
        <w:bidi w:val="0"/>
        <w:adjustRightInd/>
        <w:snapToGrid w:val="0"/>
        <w:spacing w:after="0" w:line="26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dropping rule for multi-slot PDCCH monitoring capability is the same as the current specification but evaluated per slot group, i.e., a UE drops UE specific search space set(s) in a slot group with higher index when SS sets are overbooked.</w:t>
      </w:r>
    </w:p>
    <w:p>
      <w:pPr>
        <w:pStyle w:val="125"/>
        <w:numPr>
          <w:ilvl w:val="0"/>
          <w:numId w:val="13"/>
        </w:numPr>
        <w:snapToGrid w:val="0"/>
        <w:spacing w:before="180" w:line="260" w:lineRule="auto"/>
        <w:jc w:val="both"/>
        <w:rPr>
          <w:rFonts w:hint="default" w:ascii="Times New Roman" w:hAnsi="Times New Roman" w:eastAsia="宋体" w:cs="Times New Roman"/>
          <w:bCs/>
          <w:sz w:val="20"/>
          <w:szCs w:val="20"/>
          <w:lang w:val="en-US" w:eastAsia="zh-CN"/>
        </w:rPr>
      </w:pPr>
      <w:r>
        <w:rPr>
          <w:rFonts w:hint="default" w:ascii="Times New Roman" w:hAnsi="Times New Roman" w:cs="Times New Roman"/>
          <w:sz w:val="20"/>
          <w:szCs w:val="20"/>
        </w:rPr>
        <w:t>Additional dropping rules are not precluded</w:t>
      </w:r>
    </w:p>
    <w:p>
      <w:pPr>
        <w:spacing w:before="180" w:line="260" w:lineRule="auto"/>
        <w:jc w:val="both"/>
        <w:rPr>
          <w:rFonts w:eastAsia="宋体"/>
          <w:bCs/>
          <w:lang w:val="en-US" w:eastAsia="zh-CN"/>
        </w:rPr>
      </w:pPr>
      <w:r>
        <w:rPr>
          <w:rFonts w:hint="eastAsia" w:eastAsia="宋体"/>
          <w:bCs/>
          <w:lang w:val="en-US" w:eastAsia="zh-CN"/>
        </w:rPr>
        <w:t>In this contribution, we give our views on the remaining issues of PDCCH monitoring enhancements for NR between 52.6 GHz ~ 71 GHz.</w:t>
      </w:r>
    </w:p>
    <w:bookmarkEnd w:id="5"/>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PDCCH monitoring enhancements</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1</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Default PDCCH monitoring capability</w:t>
      </w:r>
    </w:p>
    <w:p>
      <w:pPr>
        <w:numPr>
          <w:ilvl w:val="-1"/>
          <w:numId w:val="0"/>
        </w:numPr>
        <w:snapToGrid/>
        <w:spacing w:after="180" w:line="240" w:lineRule="auto"/>
        <w:ind w:left="0" w:firstLine="0"/>
        <w:jc w:val="left"/>
        <w:rPr>
          <w:rFonts w:hint="eastAsia" w:eastAsia="宋体"/>
          <w:b w:val="0"/>
          <w:bCs w:val="0"/>
          <w:lang w:val="en-US" w:eastAsia="zh-CN"/>
        </w:rPr>
      </w:pPr>
      <w:r>
        <w:rPr>
          <w:rFonts w:hint="eastAsia" w:ascii="Times New Roman" w:hAnsi="Times New Roman" w:cs="Times New Roman"/>
          <w:i w:val="0"/>
          <w:lang w:val="en-US" w:eastAsia="zh-CN"/>
        </w:rPr>
        <w:t>The specific definition of multi-slot PDCCH monitoring capability for 480/960 kHz is shown in the following table according to the TS 38.213 draft CR</w:t>
      </w:r>
      <w:r>
        <w:rPr>
          <w:rFonts w:hint="eastAsia" w:eastAsia="宋体"/>
          <w:lang w:val="en-US" w:eastAsia="zh-CN"/>
        </w:rPr>
        <w:t xml:space="preserve"> [3]</w:t>
      </w:r>
      <w:r>
        <w:rPr>
          <w:rFonts w:hint="eastAsia" w:ascii="Times New Roman" w:hAnsi="Times New Roman" w:cs="Times New Roman"/>
          <w:i w:val="0"/>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rPr>
                <w:lang w:val="en-US"/>
              </w:rPr>
            </w:pPr>
            <w:r>
              <w:rPr>
                <w:lang w:val="en-US"/>
              </w:rPr>
              <w:t xml:space="preserve">If a UE is provided </w:t>
            </w:r>
            <w:r>
              <w:rPr>
                <w:i/>
                <w:lang w:val="en-US"/>
              </w:rPr>
              <w:t>monitoringCapabilityConfig</w:t>
            </w:r>
            <w:r>
              <w:rPr>
                <w:lang w:val="en-US"/>
              </w:rPr>
              <w:t xml:space="preserve"> for a serving cell, the UE obtains an indication to monitor PDCCH on the serving cell for a maximum number of PDCCH candidates and non-overlapping CCEs </w:t>
            </w:r>
          </w:p>
          <w:p>
            <w:pPr>
              <w:ind w:leftChars="200"/>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pPr>
              <w:ind w:leftChars="200"/>
              <w:rPr>
                <w:lang w:val="en-US"/>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pPr>
              <w:ind w:leftChars="200"/>
              <w:rPr>
                <w:lang w:val="en-US"/>
              </w:rPr>
            </w:pPr>
            <w:r>
              <w:t>-</w:t>
            </w:r>
            <w:r>
              <w:tab/>
            </w:r>
            <w:r>
              <w:rPr>
                <w:lang w:val="en-US"/>
              </w:rPr>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w:t>
            </w:r>
            <w:r>
              <w:rPr>
                <w:lang w:val="en-US"/>
              </w:rP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lang w:val="en-US"/>
              </w:rPr>
              <w:t xml:space="preserve">, as in Tables 10.1-2B and 10.1-3B,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highlight w:val="cyan"/>
              </w:rPr>
              <w:t>r1</w:t>
            </w:r>
            <w:r>
              <w:rPr>
                <w:i/>
                <w:highlight w:val="cyan"/>
                <w:lang w:val="en-US"/>
              </w:rPr>
              <w:t>7</w:t>
            </w:r>
            <w:r>
              <w:rPr>
                <w:i/>
                <w:highlight w:val="cyan"/>
              </w:rPr>
              <w:t>monitoringcapability</w:t>
            </w:r>
          </w:p>
          <w:p>
            <w:pPr>
              <w:rPr>
                <w:highlight w:val="none"/>
                <w:lang w:val="en-US" w:eastAsia="zh-CN"/>
              </w:rPr>
            </w:pPr>
            <w:r>
              <w:rPr>
                <w:highlight w:val="cyan"/>
                <w:lang w:val="en-US"/>
              </w:rPr>
              <w:t xml:space="preserve">If the UE is not provided </w:t>
            </w:r>
            <w:r>
              <w:rPr>
                <w:i/>
                <w:highlight w:val="cyan"/>
                <w:lang w:val="en-US"/>
              </w:rPr>
              <w:t>monitoringCapabilityConfig</w:t>
            </w:r>
            <w:r>
              <w:rPr>
                <w:highlight w:val="cyan"/>
                <w:lang w:val="en-US"/>
              </w:rPr>
              <w:t>, the UE monitors PDCCH on the serving cell for a maximum number of PDCCH candidates and non-overlapping CCEs per slot.</w:t>
            </w:r>
            <w:r>
              <w:rPr>
                <w:highlight w:val="none"/>
                <w:lang w:val="en-US"/>
              </w:rPr>
              <w:t xml:space="preserve"> </w:t>
            </w:r>
          </w:p>
          <w:p>
            <w:pPr>
              <w:widowControl/>
              <w:spacing w:before="0" w:line="240" w:lineRule="auto"/>
              <w:jc w:val="center"/>
              <w:rPr>
                <w:rFonts w:hint="eastAsia" w:eastAsia="宋体"/>
                <w:b w:val="0"/>
                <w:bCs w:val="0"/>
                <w:vertAlign w:val="baseline"/>
                <w:lang w:val="en-US" w:eastAsia="zh-CN"/>
              </w:rPr>
            </w:pPr>
            <w:r>
              <w:rPr>
                <w:rFonts w:hint="eastAsia" w:eastAsia="宋体"/>
                <w:b w:val="0"/>
                <w:bCs w:val="0"/>
                <w:vertAlign w:val="baseline"/>
                <w:lang w:val="en-US" w:eastAsia="zh-CN"/>
              </w:rPr>
              <w:t>...omitted...</w:t>
            </w:r>
          </w:p>
          <w:p>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X,Y</m:t>
                  </m:r>
                  <m:ctrlPr>
                    <w:rPr>
                      <w:rFonts w:ascii="Cambria Math" w:hAnsi="Cambria Math"/>
                      <w:lang w:eastAsia="zh-CN"/>
                    </w:rPr>
                  </m:ctrlP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X,Y</m:t>
                  </m:r>
                  <m:ctrlPr>
                    <w:rPr>
                      <w:rFonts w:ascii="Cambria Math" w:hAnsi="Cambria Math"/>
                      <w:lang w:eastAsia="zh-CN"/>
                    </w:rPr>
                  </m:ctrlP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ctrlPr>
                    <w:rPr>
                      <w:rFonts w:ascii="Cambria Math" w:hAnsi="Cambria Math"/>
                      <w:lang w:eastAsia="zh-CN"/>
                    </w:rPr>
                  </m:ctrlP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X,Y</m:t>
                  </m:r>
                  <m:ctrlPr>
                    <w:rPr>
                      <w:rFonts w:ascii="Cambria Math" w:hAnsi="Cambria Math"/>
                      <w:lang w:eastAsia="zh-CN"/>
                    </w:rPr>
                  </m:ctrlPr>
                </m:e>
              </m:d>
            </m:oMath>
            <w:r>
              <w:rPr>
                <w:lang w:eastAsia="zh-CN"/>
              </w:rPr>
              <w:t>,</w:t>
            </w:r>
            <w:r>
              <w:t xml:space="preserve"> that is</w:t>
            </w:r>
            <w:r>
              <w:rPr>
                <w:highlight w:val="none"/>
              </w:rPr>
              <w:t xml:space="preserve"> associated with the largest maximum number of </w:t>
            </w:r>
            <m:oMath>
              <m:sSubSup>
                <m:sSubSupPr>
                  <m:ctrlPr>
                    <w:rPr>
                      <w:rFonts w:ascii="Cambria Math" w:hAnsi="Cambria Math"/>
                      <w:i/>
                      <w:highlight w:val="none"/>
                      <w:lang w:eastAsia="zh-CN"/>
                    </w:rPr>
                  </m:ctrlPr>
                </m:sSubSupPr>
                <m:e>
                  <m:r>
                    <w:rPr>
                      <w:rFonts w:ascii="Cambria Math" w:hAnsi="Cambria Math"/>
                      <w:highlight w:val="none"/>
                      <w:lang w:eastAsia="zh-CN"/>
                    </w:rPr>
                    <m:t>M</m:t>
                  </m:r>
                  <m:ctrlPr>
                    <w:rPr>
                      <w:rFonts w:ascii="Cambria Math" w:hAnsi="Cambria Math"/>
                      <w:i/>
                      <w:highlight w:val="none"/>
                      <w:lang w:eastAsia="zh-CN"/>
                    </w:rPr>
                  </m:ctrlPr>
                </m:e>
                <m:sub>
                  <m:r>
                    <m:rPr>
                      <m:sty m:val="p"/>
                    </m:rPr>
                    <w:rPr>
                      <w:rFonts w:ascii="Cambria Math" w:hAnsi="Cambria Math"/>
                      <w:highlight w:val="none"/>
                      <w:lang w:eastAsia="zh-CN"/>
                    </w:rPr>
                    <m:t>PDCCH</m:t>
                  </m:r>
                  <m:ctrlPr>
                    <w:rPr>
                      <w:rFonts w:ascii="Cambria Math" w:hAnsi="Cambria Math"/>
                      <w:i/>
                      <w:highlight w:val="none"/>
                      <w:lang w:eastAsia="zh-CN"/>
                    </w:rPr>
                  </m:ctrlPr>
                </m:sub>
                <m:sup>
                  <m:r>
                    <w:rPr>
                      <w:rFonts w:ascii="Cambria Math" w:hAnsi="Cambria Math"/>
                      <w:highlight w:val="none"/>
                      <w:lang w:eastAsia="zh-CN"/>
                    </w:rPr>
                    <m:t>max,</m:t>
                  </m:r>
                  <m:d>
                    <m:dPr>
                      <m:ctrlPr>
                        <w:rPr>
                          <w:rFonts w:ascii="Cambria Math" w:hAnsi="Cambria Math"/>
                          <w:i/>
                          <w:highlight w:val="none"/>
                          <w:lang w:eastAsia="zh-CN"/>
                        </w:rPr>
                      </m:ctrlPr>
                    </m:dPr>
                    <m:e>
                      <m:r>
                        <w:rPr>
                          <w:rFonts w:ascii="Cambria Math" w:hAnsi="Cambria Math"/>
                          <w:highlight w:val="none"/>
                          <w:lang w:eastAsia="zh-CN"/>
                        </w:rPr>
                        <m:t>X,Y</m:t>
                      </m:r>
                      <m:ctrlPr>
                        <w:rPr>
                          <w:rFonts w:ascii="Cambria Math" w:hAnsi="Cambria Math"/>
                          <w:i/>
                          <w:highlight w:val="none"/>
                          <w:lang w:eastAsia="zh-CN"/>
                        </w:rPr>
                      </m:ctrlPr>
                    </m:e>
                  </m:d>
                  <m:r>
                    <w:rPr>
                      <w:rFonts w:ascii="Cambria Math" w:hAnsi="Cambria Math"/>
                      <w:highlight w:val="none"/>
                      <w:lang w:eastAsia="zh-CN"/>
                    </w:rPr>
                    <m:t>,μ</m:t>
                  </m:r>
                  <m:ctrlPr>
                    <w:rPr>
                      <w:rFonts w:ascii="Cambria Math" w:hAnsi="Cambria Math"/>
                      <w:i/>
                      <w:highlight w:val="none"/>
                      <w:lang w:eastAsia="zh-CN"/>
                    </w:rPr>
                  </m:ctrlPr>
                </m:sup>
              </m:sSubSup>
            </m:oMath>
            <w:r>
              <w:rPr>
                <w:highlight w:val="none"/>
                <w:lang w:eastAsia="zh-CN"/>
              </w:rPr>
              <w:t xml:space="preserve"> and </w:t>
            </w:r>
            <m:oMath>
              <m:sSubSup>
                <m:sSubSupPr>
                  <m:ctrlPr>
                    <w:rPr>
                      <w:rFonts w:ascii="Cambria Math" w:hAnsi="Cambria Math"/>
                      <w:i/>
                      <w:highlight w:val="none"/>
                      <w:lang w:eastAsia="zh-CN"/>
                    </w:rPr>
                  </m:ctrlPr>
                </m:sSubSupPr>
                <m:e>
                  <m:r>
                    <w:rPr>
                      <w:rFonts w:ascii="Cambria Math" w:hAnsi="Cambria Math"/>
                      <w:highlight w:val="none"/>
                      <w:lang w:eastAsia="zh-CN"/>
                    </w:rPr>
                    <m:t>C</m:t>
                  </m:r>
                  <m:ctrlPr>
                    <w:rPr>
                      <w:rFonts w:ascii="Cambria Math" w:hAnsi="Cambria Math"/>
                      <w:i/>
                      <w:highlight w:val="none"/>
                      <w:lang w:eastAsia="zh-CN"/>
                    </w:rPr>
                  </m:ctrlPr>
                </m:e>
                <m:sub>
                  <m:r>
                    <m:rPr>
                      <m:sty m:val="p"/>
                    </m:rPr>
                    <w:rPr>
                      <w:rFonts w:ascii="Cambria Math" w:hAnsi="Cambria Math"/>
                      <w:highlight w:val="none"/>
                      <w:lang w:eastAsia="zh-CN"/>
                    </w:rPr>
                    <m:t>PDCCH</m:t>
                  </m:r>
                  <m:ctrlPr>
                    <w:rPr>
                      <w:rFonts w:ascii="Cambria Math" w:hAnsi="Cambria Math"/>
                      <w:i/>
                      <w:highlight w:val="none"/>
                      <w:lang w:eastAsia="zh-CN"/>
                    </w:rPr>
                  </m:ctrlPr>
                </m:sub>
                <m:sup>
                  <m:r>
                    <w:rPr>
                      <w:rFonts w:ascii="Cambria Math" w:hAnsi="Cambria Math"/>
                      <w:highlight w:val="none"/>
                      <w:lang w:eastAsia="zh-CN"/>
                    </w:rPr>
                    <m:t>max,</m:t>
                  </m:r>
                  <m:d>
                    <m:dPr>
                      <m:ctrlPr>
                        <w:rPr>
                          <w:rFonts w:ascii="Cambria Math" w:hAnsi="Cambria Math"/>
                          <w:i/>
                          <w:highlight w:val="none"/>
                          <w:lang w:eastAsia="zh-CN"/>
                        </w:rPr>
                      </m:ctrlPr>
                    </m:dPr>
                    <m:e>
                      <m:r>
                        <w:rPr>
                          <w:rFonts w:ascii="Cambria Math" w:hAnsi="Cambria Math"/>
                          <w:highlight w:val="none"/>
                          <w:lang w:eastAsia="zh-CN"/>
                        </w:rPr>
                        <m:t>X,Y</m:t>
                      </m:r>
                      <m:ctrlPr>
                        <w:rPr>
                          <w:rFonts w:ascii="Cambria Math" w:hAnsi="Cambria Math"/>
                          <w:i/>
                          <w:highlight w:val="none"/>
                          <w:lang w:eastAsia="zh-CN"/>
                        </w:rPr>
                      </m:ctrlPr>
                    </m:e>
                  </m:d>
                  <m:r>
                    <w:rPr>
                      <w:rFonts w:ascii="Cambria Math" w:hAnsi="Cambria Math"/>
                      <w:highlight w:val="none"/>
                      <w:lang w:eastAsia="zh-CN"/>
                    </w:rPr>
                    <m:t>,μ</m:t>
                  </m:r>
                  <m:ctrlPr>
                    <w:rPr>
                      <w:rFonts w:ascii="Cambria Math" w:hAnsi="Cambria Math"/>
                      <w:i/>
                      <w:highlight w:val="none"/>
                      <w:lang w:eastAsia="zh-CN"/>
                    </w:rPr>
                  </m:ctrlPr>
                </m:sup>
              </m:sSubSup>
            </m:oMath>
            <w:r>
              <w:rPr>
                <w:highlight w:val="none"/>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The UE expects to monitor PDCCH according to the same </w:t>
            </w:r>
            <w:r>
              <w:rPr>
                <w:lang w:eastAsia="ko-KR"/>
              </w:rPr>
              <w:t xml:space="preserve">combination </w:t>
            </w:r>
            <m:oMath>
              <m:d>
                <m:dPr>
                  <m:ctrlPr>
                    <w:rPr>
                      <w:rFonts w:ascii="Cambria Math" w:hAnsi="Cambria Math"/>
                      <w:lang w:eastAsia="zh-CN"/>
                    </w:rPr>
                  </m:ctrlPr>
                </m:dPr>
                <m:e>
                  <m:r>
                    <w:rPr>
                      <w:rFonts w:ascii="Cambria Math" w:hAnsi="Cambria Math"/>
                      <w:lang w:eastAsia="zh-CN"/>
                    </w:rPr>
                    <m:t>X,Y</m:t>
                  </m:r>
                  <m:ctrlPr>
                    <w:rPr>
                      <w:rFonts w:ascii="Cambria Math" w:hAnsi="Cambria Math"/>
                      <w:lang w:eastAsia="zh-CN"/>
                    </w:rPr>
                  </m:ctrlPr>
                </m:e>
              </m:d>
            </m:oMath>
            <w:r>
              <w:rPr>
                <w:lang w:eastAsia="zh-CN"/>
              </w:rPr>
              <w:t xml:space="preserve"> in every slot on the active DL BWP of a cell.</w:t>
            </w:r>
          </w:p>
          <w:p>
            <w:pPr>
              <w:rPr>
                <w:lang w:eastAsia="zh-CN"/>
              </w:rPr>
            </w:pPr>
            <w:r>
              <w:rPr>
                <w:highlight w:val="cyan"/>
                <w:lang w:eastAsia="zh-CN"/>
              </w:rPr>
              <w:t xml:space="preserve">For SCS configuration </w:t>
            </w:r>
            <m:oMath>
              <m:r>
                <w:rPr>
                  <w:rFonts w:ascii="Cambria Math" w:hAnsi="Cambria Math"/>
                  <w:highlight w:val="cyan"/>
                  <w:lang w:eastAsia="zh-CN"/>
                </w:rPr>
                <m:t>μ=5</m:t>
              </m:r>
            </m:oMath>
            <w:r>
              <w:rPr>
                <w:highlight w:val="cyan"/>
                <w:lang w:eastAsia="zh-CN"/>
              </w:rPr>
              <w:t xml:space="preserve"> or </w:t>
            </w:r>
            <m:oMath>
              <m:r>
                <w:rPr>
                  <w:rFonts w:ascii="Cambria Math" w:hAnsi="Cambria Math"/>
                  <w:highlight w:val="cyan"/>
                  <w:lang w:eastAsia="zh-CN"/>
                </w:rPr>
                <m:t>μ=6</m:t>
              </m:r>
            </m:oMath>
            <w:r>
              <w:rPr>
                <w:highlight w:val="cyan"/>
                <w:lang w:eastAsia="zh-CN"/>
              </w:rPr>
              <w:t xml:space="preserve">, a UE can indicate a capability to monitor PDCCH according to one or more combinations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ctrlPr>
                        <w:rPr>
                          <w:rFonts w:ascii="Cambria Math" w:hAnsi="Cambria Math"/>
                          <w:i/>
                          <w:highlight w:val="cyan"/>
                          <w:lang w:eastAsia="zh-CN"/>
                        </w:rPr>
                      </m:ctrlPr>
                    </m:e>
                    <m:sub>
                      <m:r>
                        <w:rPr>
                          <w:rFonts w:ascii="Cambria Math" w:hAnsi="Cambria Math"/>
                          <w:highlight w:val="cyan"/>
                          <w:lang w:eastAsia="zh-CN"/>
                        </w:rPr>
                        <m:t>s</m:t>
                      </m:r>
                      <m:ctrlPr>
                        <w:rPr>
                          <w:rFonts w:ascii="Cambria Math" w:hAnsi="Cambria Math"/>
                          <w:i/>
                          <w:highlight w:val="cyan"/>
                          <w:lang w:eastAsia="zh-CN"/>
                        </w:rPr>
                      </m:ctrlP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ctrlPr>
                        <w:rPr>
                          <w:rFonts w:ascii="Cambria Math" w:hAnsi="Cambria Math"/>
                          <w:i/>
                          <w:highlight w:val="cyan"/>
                          <w:lang w:eastAsia="zh-CN"/>
                        </w:rPr>
                      </m:ctrlPr>
                    </m:e>
                    <m:sub>
                      <m:r>
                        <w:rPr>
                          <w:rFonts w:ascii="Cambria Math" w:hAnsi="Cambria Math"/>
                          <w:highlight w:val="cyan"/>
                          <w:lang w:eastAsia="zh-CN"/>
                        </w:rPr>
                        <m:t>s</m:t>
                      </m:r>
                      <m:ctrlPr>
                        <w:rPr>
                          <w:rFonts w:ascii="Cambria Math" w:hAnsi="Cambria Math"/>
                          <w:i/>
                          <w:highlight w:val="cyan"/>
                          <w:lang w:eastAsia="zh-CN"/>
                        </w:rPr>
                      </m:ctrlPr>
                    </m:sub>
                  </m:sSub>
                  <m:ctrlPr>
                    <w:rPr>
                      <w:rFonts w:ascii="Cambria Math" w:hAnsi="Cambria Math"/>
                      <w:highlight w:val="cyan"/>
                      <w:lang w:eastAsia="zh-CN"/>
                    </w:rPr>
                  </m:ctrlPr>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w:t>
            </w:r>
          </w:p>
          <w:p>
            <w:pPr>
              <w:widowControl/>
              <w:spacing w:before="0" w:line="240" w:lineRule="auto"/>
              <w:jc w:val="left"/>
              <w:rPr>
                <w:rFonts w:hint="default" w:eastAsia="宋体"/>
                <w:b w:val="0"/>
                <w:bCs w:val="0"/>
                <w:vertAlign w:val="baseline"/>
                <w:lang w:val="en-US"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r>
              <w:rPr>
                <w:lang w:eastAsia="zh-CN"/>
              </w:rPr>
              <w:t xml:space="preserve"> slots, as applicable according to the search space set configurations, and maximum corresponding values are provided in Table 10.1-2B and </w:t>
            </w:r>
            <w:r>
              <w:t xml:space="preserve">Table 10.1-3B, respectively. </w:t>
            </w:r>
          </w:p>
        </w:tc>
      </w:tr>
    </w:tbl>
    <w:p>
      <w:pPr>
        <w:numPr>
          <w:ilvl w:val="1"/>
          <w:numId w:val="0"/>
        </w:numPr>
        <w:snapToGrid w:val="0"/>
        <w:spacing w:before="180" w:after="180" w:line="260" w:lineRule="auto"/>
        <w:ind w:left="0" w:firstLine="0"/>
        <w:jc w:val="both"/>
        <w:rPr>
          <w:rFonts w:hint="eastAsia" w:ascii="Cambria Math" w:hAnsi="Cambria Math"/>
          <w:i w:val="0"/>
          <w:lang w:val="en-US" w:eastAsia="zh-CN"/>
        </w:rPr>
      </w:pPr>
      <w:r>
        <w:rPr>
          <w:rFonts w:hint="eastAsia" w:eastAsia="宋体"/>
          <w:lang w:val="en-US" w:eastAsia="zh-CN"/>
        </w:rPr>
        <w:t xml:space="preserve">According to the previous agreements/conclusions, a UE supporting 480/960 kHz SCS supports multi-slot PDCCH monitoring for 480/960 kHz SCS and for 120 kHz SCS, no multi-slot UE capability for PDCCH monitoring is needed. In other words, it will not cause any ambiguity if per-slot </w:t>
      </w:r>
      <w:r>
        <w:rPr>
          <w:rFonts w:hint="default" w:ascii="Times New Roman" w:hAnsi="Times New Roman" w:cs="Times New Roman"/>
          <w:i w:val="0"/>
          <w:lang w:val="en-US" w:eastAsia="zh-CN"/>
        </w:rPr>
        <w:t>monitoring is not supported</w:t>
      </w:r>
      <w:r>
        <w:rPr>
          <w:rFonts w:hint="eastAsia" w:cs="Times New Roman"/>
          <w:i w:val="0"/>
          <w:lang w:val="en-US" w:eastAsia="zh-CN"/>
        </w:rPr>
        <w:t xml:space="preserve"> for SCS 480/960 kHz </w:t>
      </w:r>
      <w:r>
        <w:rPr>
          <w:rFonts w:hint="eastAsia" w:ascii="Cambria Math" w:hAnsi="Cambria Math"/>
          <w:i w:val="0"/>
          <w:lang w:val="en-US" w:eastAsia="zh-CN"/>
        </w:rPr>
        <w:t>and t</w:t>
      </w:r>
      <w:r>
        <w:rPr>
          <w:rFonts w:hint="eastAsia" w:eastAsia="宋体"/>
          <w:lang w:val="en-US" w:eastAsia="zh-CN"/>
        </w:rPr>
        <w:t>here is no need to i</w:t>
      </w:r>
      <w:r>
        <w:rPr>
          <w:rFonts w:hint="eastAsia"/>
          <w:b w:val="0"/>
          <w:bCs w:val="0"/>
          <w:i w:val="0"/>
          <w:sz w:val="20"/>
          <w:szCs w:val="22"/>
          <w:lang w:val="en-US" w:eastAsia="zh-CN"/>
        </w:rPr>
        <w:t xml:space="preserve">ntroduce </w:t>
      </w:r>
      <w:r>
        <w:rPr>
          <w:i/>
          <w:highlight w:val="none"/>
          <w:lang w:val="en-US"/>
        </w:rPr>
        <w:t>monitoringCapabilityConfig</w:t>
      </w:r>
      <w:r>
        <w:rPr>
          <w:szCs w:val="22"/>
          <w:highlight w:val="none"/>
        </w:rPr>
        <w:t xml:space="preserve"> </w:t>
      </w:r>
      <w:r>
        <w:rPr>
          <w:szCs w:val="22"/>
          <w:highlight w:val="none"/>
          <w:lang w:val="en-US"/>
        </w:rPr>
        <w:t>=</w:t>
      </w:r>
      <w:r>
        <w:rPr>
          <w:szCs w:val="22"/>
          <w:highlight w:val="none"/>
        </w:rPr>
        <w:t xml:space="preserve"> </w:t>
      </w:r>
      <w:r>
        <w:rPr>
          <w:i/>
          <w:highlight w:val="none"/>
        </w:rPr>
        <w:t>r1</w:t>
      </w:r>
      <w:r>
        <w:rPr>
          <w:i/>
          <w:highlight w:val="none"/>
          <w:lang w:val="en-US"/>
        </w:rPr>
        <w:t>7</w:t>
      </w:r>
      <w:r>
        <w:rPr>
          <w:i/>
          <w:highlight w:val="none"/>
        </w:rPr>
        <w:t>monitoringcapability</w:t>
      </w:r>
      <w:r>
        <w:rPr>
          <w:rFonts w:hint="eastAsia" w:ascii="Cambria Math" w:hAnsi="Cambria Math"/>
          <w:i w:val="0"/>
          <w:lang w:val="en-US" w:eastAsia="zh-CN"/>
        </w:rPr>
        <w:t>.</w:t>
      </w:r>
    </w:p>
    <w:p>
      <w:pPr>
        <w:numPr>
          <w:ilvl w:val="1"/>
          <w:numId w:val="0"/>
        </w:numPr>
        <w:snapToGrid w:val="0"/>
        <w:spacing w:before="180" w:after="180" w:line="260" w:lineRule="auto"/>
        <w:ind w:left="0" w:firstLine="0"/>
        <w:jc w:val="both"/>
        <w:rPr>
          <w:rFonts w:hint="default" w:ascii="Cambria Math" w:hAnsi="Cambria Math" w:eastAsia="Times New Roman"/>
          <w:b/>
          <w:bCs/>
          <w:lang w:val="en-US" w:eastAsia="zh-CN"/>
        </w:rPr>
      </w:pPr>
      <w:r>
        <w:rPr>
          <w:rFonts w:hint="default" w:ascii="Times New Roman" w:hAnsi="Times New Roman"/>
          <w:b/>
          <w:bCs/>
          <w:i w:val="0"/>
          <w:lang w:val="en-US" w:eastAsia="zh-CN"/>
        </w:rPr>
        <w:t>Proposal 1:</w:t>
      </w:r>
      <w:r>
        <w:rPr>
          <w:rFonts w:hint="eastAsia" w:ascii="Cambria Math" w:hAnsi="Cambria Math"/>
          <w:b/>
          <w:bCs/>
          <w:i w:val="0"/>
          <w:lang w:val="en-US" w:eastAsia="zh-CN"/>
        </w:rPr>
        <w:t xml:space="preserve"> T</w:t>
      </w:r>
      <w:r>
        <w:rPr>
          <w:rFonts w:hint="eastAsia" w:eastAsia="宋体"/>
          <w:b/>
          <w:bCs/>
          <w:lang w:val="en-US" w:eastAsia="zh-CN"/>
        </w:rPr>
        <w:t>here is no need to i</w:t>
      </w:r>
      <w:r>
        <w:rPr>
          <w:rFonts w:hint="eastAsia"/>
          <w:b/>
          <w:bCs/>
          <w:i w:val="0"/>
          <w:sz w:val="20"/>
          <w:szCs w:val="22"/>
          <w:lang w:val="en-US" w:eastAsia="zh-CN"/>
        </w:rPr>
        <w:t xml:space="preserve">ntroduce </w:t>
      </w:r>
      <w:r>
        <w:rPr>
          <w:b/>
          <w:bCs/>
          <w:i/>
          <w:highlight w:val="none"/>
          <w:lang w:val="en-US"/>
        </w:rPr>
        <w:t>monitoringCapabilityConfig</w:t>
      </w:r>
      <w:r>
        <w:rPr>
          <w:b/>
          <w:bCs/>
          <w:szCs w:val="22"/>
          <w:highlight w:val="none"/>
        </w:rPr>
        <w:t xml:space="preserve"> </w:t>
      </w:r>
      <w:r>
        <w:rPr>
          <w:b/>
          <w:bCs/>
          <w:szCs w:val="22"/>
          <w:highlight w:val="none"/>
          <w:lang w:val="en-US"/>
        </w:rPr>
        <w:t>=</w:t>
      </w:r>
      <w:r>
        <w:rPr>
          <w:b/>
          <w:bCs/>
          <w:szCs w:val="22"/>
          <w:highlight w:val="none"/>
        </w:rPr>
        <w:t xml:space="preserve"> </w:t>
      </w:r>
      <w:r>
        <w:rPr>
          <w:b/>
          <w:bCs/>
          <w:i/>
          <w:highlight w:val="none"/>
        </w:rPr>
        <w:t>r1</w:t>
      </w:r>
      <w:r>
        <w:rPr>
          <w:b/>
          <w:bCs/>
          <w:i/>
          <w:highlight w:val="none"/>
          <w:lang w:val="en-US"/>
        </w:rPr>
        <w:t>7</w:t>
      </w:r>
      <w:r>
        <w:rPr>
          <w:b/>
          <w:bCs/>
          <w:i/>
          <w:highlight w:val="none"/>
        </w:rPr>
        <w:t>monitoringcapability</w:t>
      </w:r>
      <w:r>
        <w:rPr>
          <w:rFonts w:hint="eastAsia"/>
          <w:b/>
          <w:bCs/>
          <w:i/>
          <w:highlight w:val="none"/>
          <w:lang w:val="en-US" w:eastAsia="zh-CN"/>
        </w:rPr>
        <w:t xml:space="preserve"> </w:t>
      </w:r>
      <w:r>
        <w:rPr>
          <w:rFonts w:hint="eastAsia"/>
          <w:b/>
          <w:bCs/>
          <w:i w:val="0"/>
          <w:iCs/>
          <w:highlight w:val="none"/>
          <w:lang w:val="en-US" w:eastAsia="zh-CN"/>
        </w:rPr>
        <w:t xml:space="preserve">if per-slot </w:t>
      </w:r>
      <w:r>
        <w:rPr>
          <w:rFonts w:hint="default" w:ascii="Times New Roman" w:hAnsi="Times New Roman" w:cs="Times New Roman"/>
          <w:b/>
          <w:bCs/>
          <w:i w:val="0"/>
          <w:lang w:val="en-US" w:eastAsia="zh-CN"/>
        </w:rPr>
        <w:t>monitoring is not supported</w:t>
      </w:r>
      <w:r>
        <w:rPr>
          <w:rFonts w:hint="eastAsia" w:cs="Times New Roman"/>
          <w:b/>
          <w:bCs/>
          <w:i w:val="0"/>
          <w:lang w:val="en-US" w:eastAsia="zh-CN"/>
        </w:rPr>
        <w:t xml:space="preserve"> for SCS 480/960 kHz</w:t>
      </w:r>
      <w:r>
        <w:rPr>
          <w:rFonts w:hint="eastAsia" w:ascii="Cambria Math" w:hAnsi="Cambria Math"/>
          <w:b/>
          <w:bCs/>
          <w:i w:val="0"/>
          <w:lang w:val="en-US" w:eastAsia="zh-CN"/>
        </w:rPr>
        <w:t>.</w:t>
      </w:r>
    </w:p>
    <w:p>
      <w:pPr>
        <w:numPr>
          <w:ilvl w:val="1"/>
          <w:numId w:val="0"/>
        </w:numPr>
        <w:snapToGrid w:val="0"/>
        <w:spacing w:before="180" w:after="180" w:line="260" w:lineRule="auto"/>
        <w:ind w:left="0" w:firstLine="0"/>
        <w:jc w:val="both"/>
        <w:rPr>
          <w:rFonts w:hint="default" w:ascii="Cambria Math" w:hAnsi="Cambria Math" w:eastAsia="Times New Roman"/>
          <w:b w:val="0"/>
          <w:bCs w:val="0"/>
          <w:lang w:val="en-US" w:eastAsia="zh-CN"/>
        </w:rPr>
      </w:pPr>
      <w:r>
        <w:rPr>
          <w:rFonts w:hint="eastAsia" w:eastAsia="宋体"/>
          <w:b w:val="0"/>
          <w:bCs w:val="0"/>
          <w:lang w:val="en-US" w:eastAsia="zh-CN"/>
        </w:rPr>
        <w:t>Moreover, according to TS 38.213, i</w:t>
      </w:r>
      <w:r>
        <w:rPr>
          <w:highlight w:val="none"/>
          <w:lang w:val="en-US"/>
        </w:rPr>
        <w:t xml:space="preserve">f the UE is not provided </w:t>
      </w:r>
      <w:r>
        <w:rPr>
          <w:i/>
          <w:highlight w:val="none"/>
          <w:lang w:val="en-US"/>
        </w:rPr>
        <w:t>monitoringCapabilityConfig</w:t>
      </w:r>
      <w:r>
        <w:rPr>
          <w:highlight w:val="none"/>
          <w:lang w:val="en-US"/>
        </w:rPr>
        <w:t xml:space="preserve">, the UE monitors PDCCH on the serving cell for a maximum number of PDCCH candidates and non-overlapping CCEs </w:t>
      </w:r>
      <w:r>
        <w:rPr>
          <w:color w:val="auto"/>
          <w:highlight w:val="none"/>
          <w:lang w:val="en-US"/>
        </w:rPr>
        <w:t>per slot</w:t>
      </w:r>
      <w:r>
        <w:rPr>
          <w:highlight w:val="none"/>
          <w:lang w:val="en-US"/>
        </w:rPr>
        <w:t xml:space="preserve">. </w:t>
      </w:r>
      <w:r>
        <w:rPr>
          <w:rFonts w:hint="eastAsia" w:eastAsia="宋体"/>
          <w:highlight w:val="none"/>
          <w:lang w:val="en-US" w:eastAsia="zh-CN"/>
        </w:rPr>
        <w:t>However,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rFonts w:hint="eastAsia" w:ascii="Cambria Math" w:hAnsi="Cambria Math"/>
          <w:i w:val="0"/>
          <w:lang w:val="en-US" w:eastAsia="zh-CN"/>
        </w:rPr>
        <w:t xml:space="preserve"> </w:t>
      </w:r>
      <w:r>
        <w:rPr>
          <w:rFonts w:hint="default" w:ascii="Times New Roman" w:hAnsi="Times New Roman" w:cs="Times New Roman"/>
          <w:i w:val="0"/>
          <w:lang w:val="en-US" w:eastAsia="zh-CN"/>
        </w:rPr>
        <w:t>in Rel-17</w:t>
      </w:r>
      <w:r>
        <w:rPr>
          <w:rFonts w:hint="eastAsia" w:cs="Times New Roman"/>
          <w:i w:val="0"/>
          <w:lang w:val="en-US" w:eastAsia="zh-CN"/>
        </w:rPr>
        <w:t>,</w:t>
      </w:r>
      <w:r>
        <w:rPr>
          <w:rFonts w:hint="eastAsia" w:ascii="Times New Roman" w:hAnsi="Times New Roman" w:cs="Times New Roman"/>
          <w:i w:val="0"/>
          <w:lang w:val="en-US" w:eastAsia="zh-CN"/>
        </w:rPr>
        <w:t xml:space="preserve"> only multi-slot PDCCH monitoring capability is supported and per-slot monitoring is still under discussion. </w:t>
      </w:r>
      <w:r>
        <w:rPr>
          <w:rFonts w:hint="eastAsia" w:cs="Times New Roman"/>
          <w:i w:val="0"/>
          <w:lang w:val="en-US" w:eastAsia="zh-CN"/>
        </w:rPr>
        <w:t xml:space="preserve">There is a high probability that per-slot monitoring will not be supported in FR2-2 based on previous discussions, we prefer to clarify this in the specification that if UE does not provide any monitoring capability </w:t>
      </w:r>
      <w:r>
        <w:rPr>
          <w:rFonts w:hint="eastAsia" w:eastAsia="宋体"/>
          <w:b w:val="0"/>
          <w:bCs w:val="0"/>
          <w:lang w:val="en-US" w:eastAsia="zh-CN"/>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eastAsia="宋体"/>
          <w:b w:val="0"/>
          <w:bCs w:val="0"/>
          <w:lang w:val="en-US" w:eastAsia="zh-CN"/>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ascii="Cambria Math" w:hAnsi="Cambria Math"/>
          <w:i w:val="0"/>
          <w:lang w:val="en-US" w:eastAsia="zh-CN"/>
        </w:rPr>
        <w:t xml:space="preserve"> =</w:t>
      </w:r>
      <w:r>
        <w:rPr>
          <w:rFonts w:hint="default" w:ascii="Times New Roman" w:hAnsi="Times New Roman" w:cs="Times New Roman"/>
          <w:i w:val="0"/>
          <w:lang w:val="en-US" w:eastAsia="zh-CN"/>
        </w:rPr>
        <w:t xml:space="preserve"> (4, 1) or (</w:t>
      </w:r>
      <w:r>
        <w:rPr>
          <w:rFonts w:hint="eastAsia" w:ascii="Times New Roman" w:hAnsi="Times New Roman" w:cs="Times New Roman"/>
          <w:i w:val="0"/>
          <w:lang w:val="en-US" w:eastAsia="zh-CN"/>
        </w:rPr>
        <w:t xml:space="preserve">8, 1) is mandatorily supported for </w:t>
      </w:r>
      <w:r>
        <w:rPr>
          <w:lang w:eastAsia="zh-CN"/>
        </w:rPr>
        <w:t xml:space="preserve">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rFonts w:hint="default" w:ascii="Times New Roman" w:hAnsi="Times New Roman" w:cs="Times New Roman"/>
          <w:i w:val="0"/>
          <w:lang w:val="en-US" w:eastAsia="zh-CN"/>
        </w:rPr>
        <w:t xml:space="preserve"> respectively if per-slot monitoring is not supported</w:t>
      </w:r>
      <w:r>
        <w:rPr>
          <w:rFonts w:hint="eastAsia" w:cs="Times New Roman"/>
          <w:i w:val="0"/>
          <w:lang w:val="en-US" w:eastAsia="zh-CN"/>
        </w:rPr>
        <w:t xml:space="preserve"> for SCS 480/960 kHz</w:t>
      </w:r>
      <w:r>
        <w:rPr>
          <w:rFonts w:hint="eastAsia" w:ascii="Cambria Math" w:hAnsi="Cambria Math"/>
          <w:i w:val="0"/>
          <w:lang w:val="en-US" w:eastAsia="zh-CN"/>
        </w:rPr>
        <w:t xml:space="preserve">. </w:t>
      </w:r>
      <w:r>
        <w:rPr>
          <w:rFonts w:hint="eastAsia" w:eastAsia="宋体"/>
          <w:b w:val="0"/>
          <w:bCs w:val="0"/>
          <w:lang w:val="en-US"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lang w:val="en-US"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ascii="Cambria Math" w:hAnsi="Cambria Math"/>
          <w:i w:val="0"/>
          <w:lang w:val="en-US" w:eastAsia="zh-CN"/>
        </w:rPr>
        <w:t xml:space="preserve"> may </w:t>
      </w:r>
      <w:r>
        <w:rPr>
          <w:rFonts w:hint="eastAsia" w:ascii="Times New Roman" w:hAnsi="Times New Roman" w:cs="Times New Roman"/>
          <w:i w:val="0"/>
          <w:lang w:val="en-US" w:eastAsia="zh-CN"/>
        </w:rPr>
        <w:t xml:space="preserve">correspond to different BD/CCE budge, we suggest indicating the mandatory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ascii="Cambria Math" w:hAnsi="Cambria Math"/>
          <w:i w:val="0"/>
          <w:lang w:val="en-US" w:eastAsia="zh-CN"/>
        </w:rPr>
        <w:t xml:space="preserve"> </w:t>
      </w:r>
      <w:r>
        <w:rPr>
          <w:rFonts w:hint="default" w:ascii="Times New Roman" w:hAnsi="Times New Roman" w:cs="Times New Roman"/>
          <w:i w:val="0"/>
          <w:lang w:val="en-US" w:eastAsia="zh-CN"/>
        </w:rPr>
        <w:t>combination</w:t>
      </w:r>
      <w:r>
        <w:rPr>
          <w:rFonts w:hint="eastAsia" w:ascii="Cambria Math" w:hAnsi="Cambria Math"/>
          <w:i w:val="0"/>
          <w:lang w:val="en-US" w:eastAsia="zh-CN"/>
        </w:rPr>
        <w:t>.</w:t>
      </w:r>
    </w:p>
    <w:p>
      <w:pPr>
        <w:numPr>
          <w:ilvl w:val="1"/>
          <w:numId w:val="0"/>
        </w:numPr>
        <w:snapToGrid w:val="0"/>
        <w:spacing w:after="180" w:line="260" w:lineRule="auto"/>
        <w:ind w:left="0" w:firstLine="0"/>
        <w:jc w:val="both"/>
        <w:rPr>
          <w:rFonts w:hint="default" w:ascii="Times New Roman" w:hAnsi="Times New Roman"/>
          <w:b w:val="0"/>
          <w:bCs w:val="0"/>
          <w:i w:val="0"/>
          <w:lang w:val="en-US" w:eastAsia="zh-CN"/>
        </w:rPr>
      </w:pPr>
      <w:r>
        <w:rPr>
          <w:rFonts w:hint="eastAsia" w:eastAsia="宋体"/>
          <w:b/>
          <w:bCs/>
          <w:lang w:val="en-US" w:eastAsia="zh-CN"/>
        </w:rPr>
        <w:t xml:space="preserve">Proposal 2: Further clarification in TS 38.213: if a UE does not provide any monitoring capability 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ascii="Cambria Math" w:hAnsi="Cambria Math"/>
          <w:b/>
          <w:bCs/>
          <w:i w:val="0"/>
          <w:lang w:val="en-US" w:eastAsia="zh-CN"/>
        </w:rPr>
        <w:t xml:space="preserve"> </w:t>
      </w:r>
      <w:r>
        <w:rPr>
          <w:rFonts w:hint="default" w:ascii="Times New Roman" w:hAnsi="Times New Roman" w:cs="Times New Roman"/>
          <w:b/>
          <w:bCs/>
          <w:i w:val="0"/>
          <w:lang w:val="en-US" w:eastAsia="zh-CN"/>
        </w:rPr>
        <w:t>or</w:t>
      </w:r>
      <w:r>
        <w:rPr>
          <w:rFonts w:hint="eastAsia" w:ascii="Times New Roman" w:hAnsi="Times New Roman" w:cs="Times New Roman"/>
          <w:b/>
          <w:bCs/>
          <w:i w:val="0"/>
          <w:lang w:val="en-US" w:eastAsia="zh-CN"/>
        </w:rPr>
        <w:t xml:space="preserve"> if a</w:t>
      </w:r>
      <w:r>
        <w:rPr>
          <w:rFonts w:hint="default" w:ascii="Times New Roman" w:hAnsi="Times New Roman" w:cs="Times New Roman"/>
          <w:b/>
          <w:bCs/>
          <w:i w:val="0"/>
          <w:lang w:val="en-US" w:eastAsia="zh-CN"/>
        </w:rPr>
        <w:t xml:space="preserve"> UE </w:t>
      </w:r>
      <w:r>
        <w:rPr>
          <w:rFonts w:hint="eastAsia" w:ascii="Times New Roman" w:hAnsi="Times New Roman" w:cs="Times New Roman"/>
          <w:b/>
          <w:bCs/>
          <w:i w:val="0"/>
          <w:lang w:val="en-US" w:eastAsia="zh-CN"/>
        </w:rPr>
        <w:t xml:space="preserve">indicates a capability to monitor PDCCH according to more </w:t>
      </w:r>
      <w:r>
        <w:rPr>
          <w:rFonts w:hint="eastAsia" w:eastAsia="宋体"/>
          <w:b/>
          <w:bCs/>
          <w:lang w:val="en-US"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eastAsia="宋体"/>
          <w:b/>
          <w:bCs/>
          <w:lang w:val="en-US"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ascii="Cambria Math" w:hAnsi="Cambria Math"/>
          <w:b/>
          <w:bCs/>
          <w:i w:val="0"/>
          <w:lang w:val="en-US" w:eastAsia="zh-CN"/>
        </w:rPr>
        <w:t xml:space="preserve"> =</w:t>
      </w:r>
      <w:r>
        <w:rPr>
          <w:rFonts w:hint="default" w:ascii="Times New Roman" w:hAnsi="Times New Roman" w:cs="Times New Roman"/>
          <w:b/>
          <w:bCs/>
          <w:i w:val="0"/>
          <w:lang w:val="en-US" w:eastAsia="zh-CN"/>
        </w:rPr>
        <w:t xml:space="preserve"> (4, 1) or (</w:t>
      </w:r>
      <w:r>
        <w:rPr>
          <w:rFonts w:hint="eastAsia" w:ascii="Times New Roman" w:hAnsi="Times New Roman" w:cs="Times New Roman"/>
          <w:b/>
          <w:bCs/>
          <w:i w:val="0"/>
          <w:lang w:val="en-US" w:eastAsia="zh-CN"/>
        </w:rPr>
        <w:t>8, 1) is mandatorily supported</w:t>
      </w:r>
      <w:r>
        <w:rPr>
          <w:rFonts w:hint="eastAsia" w:eastAsia="宋体"/>
          <w:b/>
          <w:bCs/>
          <w:lang w:val="en-US" w:eastAsia="zh-CN"/>
        </w:rPr>
        <w:t xml:space="preserve"> </w:t>
      </w:r>
      <w:r>
        <w:rPr>
          <w:rFonts w:hint="eastAsia" w:ascii="Times New Roman" w:hAnsi="Times New Roman" w:cs="Times New Roman"/>
          <w:b/>
          <w:bCs/>
          <w:i w:val="0"/>
          <w:lang w:val="en-US" w:eastAsia="zh-CN"/>
        </w:rPr>
        <w:t xml:space="preserve">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rFonts w:hint="eastAsia" w:ascii="Times New Roman" w:hAnsi="Times New Roman" w:cs="Times New Roman"/>
          <w:b/>
          <w:bCs/>
          <w:i w:val="0"/>
          <w:lang w:val="en-US" w:eastAsia="zh-CN"/>
        </w:rPr>
        <w:t xml:space="preserve"> </w:t>
      </w:r>
      <w:r>
        <w:rPr>
          <w:rFonts w:hint="eastAsia" w:cs="Times New Roman"/>
          <w:b/>
          <w:bCs/>
          <w:i w:val="0"/>
          <w:lang w:val="en-US" w:eastAsia="zh-CN"/>
        </w:rPr>
        <w:t>respectively if per-slot monitoring is not supported for SCS 480/960kHz</w:t>
      </w:r>
      <w:r>
        <w:rPr>
          <w:rFonts w:hint="eastAsia" w:ascii="Cambria Math" w:hAnsi="Cambria Math"/>
          <w:b/>
          <w:bCs/>
          <w:i w:val="0"/>
          <w:lang w:val="en-US" w:eastAsia="zh-CN"/>
        </w:rPr>
        <w:t>.</w:t>
      </w:r>
    </w:p>
    <w:p>
      <w:pPr>
        <w:pStyle w:val="3"/>
        <w:numPr>
          <w:ilvl w:val="1"/>
          <w:numId w:val="0"/>
        </w:numPr>
        <w:snapToGrid w:val="0"/>
        <w:spacing w:after="240" w:line="260" w:lineRule="auto"/>
        <w:rPr>
          <w:rFonts w:hint="default"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BD/CCE budget</w:t>
      </w:r>
    </w:p>
    <w:p>
      <w:pPr>
        <w:numPr>
          <w:ilvl w:val="-1"/>
          <w:numId w:val="0"/>
        </w:numPr>
        <w:spacing w:before="0" w:after="180" w:line="260" w:lineRule="auto"/>
        <w:jc w:val="both"/>
        <w:rPr>
          <w:rFonts w:hint="eastAsia" w:eastAsia="宋体"/>
          <w:lang w:val="en-US" w:eastAsia="zh-CN"/>
        </w:rPr>
      </w:pPr>
      <w:r>
        <w:rPr>
          <w:rFonts w:hint="eastAsia"/>
          <w:lang w:val="en-US"/>
        </w:rPr>
        <w:t>In the RAN1 #10</w:t>
      </w:r>
      <w:r>
        <w:rPr>
          <w:rFonts w:hint="eastAsia" w:eastAsia="宋体"/>
          <w:lang w:val="en-US" w:eastAsia="zh-CN"/>
        </w:rPr>
        <w:t xml:space="preserve">7 </w:t>
      </w:r>
      <w:r>
        <w:rPr>
          <w:rFonts w:hint="eastAsia"/>
          <w:lang w:val="en-US"/>
        </w:rPr>
        <w:t>e-meeting</w:t>
      </w:r>
      <w:r>
        <w:rPr>
          <w:rFonts w:hint="eastAsia" w:eastAsia="宋体"/>
          <w:lang w:val="en-US" w:eastAsia="zh-CN"/>
        </w:rPr>
        <w:t xml:space="preserve">, it was agreed that a UE capable of multi-slot monitoring optionally supports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eastAsia="宋体"/>
          <w:lang w:val="en-US" w:eastAsia="zh-CN"/>
        </w:rPr>
        <w:t xml:space="preserve"> = (4, 2) for SCS 480 kHz and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hint="eastAsia" w:eastAsia="宋体"/>
          <w:lang w:val="en-US" w:eastAsia="zh-CN"/>
        </w:rPr>
        <w:t xml:space="preserve"> = (8, 4), (4, 2), (4, 1) for SCS 960 kHz. The BD/CCE budget of SCS 960kHz for </w:t>
      </w:r>
      <w:r>
        <w:rPr>
          <w:rFonts w:hint="default" w:ascii="Times New Roman" w:hAnsi="Times New Roman" w:cs="Times New Roman"/>
          <w:sz w:val="20"/>
          <w:szCs w:val="20"/>
        </w:rPr>
        <w:t xml:space="preserve"> (4,2), (4,1) </w:t>
      </w:r>
      <w:r>
        <w:rPr>
          <w:rFonts w:hint="eastAsia" w:ascii="Times New Roman" w:hAnsi="Times New Roman" w:eastAsia="宋体" w:cs="Times New Roman"/>
          <w:sz w:val="20"/>
          <w:szCs w:val="20"/>
          <w:lang w:val="en-US" w:eastAsia="zh-CN"/>
        </w:rPr>
        <w:t xml:space="preserve">can be scaled based on the absolute time of a slot group, and </w:t>
      </w:r>
      <w:r>
        <w:rPr>
          <w:rFonts w:hint="eastAsia" w:eastAsia="宋体"/>
          <w:bCs/>
          <w:lang w:val="en-US" w:eastAsia="zh-CN"/>
        </w:rPr>
        <w:t xml:space="preserve">the value of </w:t>
      </w:r>
      <w:r>
        <w:rPr>
          <w:position w:val="-10"/>
          <w:lang w:val="en-US" w:eastAsia="zh-CN"/>
        </w:rPr>
        <w:drawing>
          <wp:inline distT="0" distB="0" distL="0" distR="0">
            <wp:extent cx="485775" cy="247650"/>
            <wp:effectExtent l="0" t="0" r="9525"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hint="eastAsia" w:eastAsia="宋体"/>
          <w:bCs/>
          <w:lang w:val="en-US" w:eastAsia="zh-CN"/>
        </w:rPr>
        <w:t xml:space="preserve"> is large enough to enable the highest CCE aggregation level. </w:t>
      </w:r>
      <w:r>
        <w:rPr>
          <w:rFonts w:hint="eastAsia" w:eastAsia="宋体"/>
          <w:lang w:val="en-US" w:eastAsia="zh-CN"/>
        </w:rPr>
        <w:t>The following working assumption related to BD/CCE budge was made during the meeting:</w:t>
      </w:r>
    </w:p>
    <w:p>
      <w:pPr>
        <w:numPr>
          <w:ilvl w:val="-1"/>
          <w:numId w:val="0"/>
        </w:numPr>
        <w:spacing w:after="180" w:line="260" w:lineRule="auto"/>
        <w:jc w:val="both"/>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r>
        <w:rPr>
          <w:rFonts w:hint="default" w:ascii="Times New Roman" w:hAnsi="Times New Roman" w:cs="Times New Roman"/>
          <w:sz w:val="20"/>
          <w:szCs w:val="20"/>
        </w:rPr>
        <w:t xml:space="preserve"> BD/CCE budget for (4,2), (4,1) is half that of X=8</w:t>
      </w:r>
    </w:p>
    <w:p>
      <w:pPr>
        <w:spacing w:before="0" w:line="260" w:lineRule="auto"/>
        <w:jc w:val="both"/>
      </w:pPr>
      <w:r>
        <w:rPr>
          <w:rFonts w:hint="eastAsia" w:eastAsia="宋体"/>
          <w:lang w:val="en-US" w:eastAsia="zh-CN"/>
        </w:rPr>
        <w:t xml:space="preserve">According to the working assumption, </w:t>
      </w:r>
      <w:r>
        <w:t>Table 1</w:t>
      </w:r>
      <w:r>
        <w:rPr>
          <w:rFonts w:hint="eastAsia" w:eastAsia="宋体"/>
          <w:lang w:val="en-US" w:eastAsia="zh-CN"/>
        </w:rPr>
        <w:t xml:space="preserve"> and Table 2</w:t>
      </w:r>
      <w:r>
        <w:t xml:space="preserve"> provide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ctrlPr>
              <w:rPr>
                <w:rFonts w:ascii="Cambria Math" w:hAnsi="Cambria Math"/>
                <w:i/>
                <w:sz w:val="18"/>
                <w:szCs w:val="18"/>
                <w:lang w:eastAsia="zh-CN"/>
              </w:rPr>
            </m:ctrlPr>
          </m:e>
          <m:sub>
            <m:r>
              <m:rPr>
                <m:sty m:val="p"/>
              </m:rPr>
              <w:rPr>
                <w:rFonts w:ascii="Cambria Math" w:hAnsi="Cambria Math"/>
                <w:lang w:eastAsia="zh-CN"/>
              </w:rPr>
              <m:t>PDCCH</m:t>
            </m:r>
            <m:ctrlPr>
              <w:rPr>
                <w:rFonts w:ascii="Cambria Math" w:hAnsi="Cambria Math"/>
                <w:i/>
                <w:sz w:val="18"/>
                <w:szCs w:val="18"/>
                <w:lang w:eastAsia="zh-CN"/>
              </w:rPr>
            </m:ctrlP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i/>
                    <w:lang w:eastAsia="zh-CN"/>
                  </w:rPr>
                </m:ctrlPr>
              </m:e>
            </m:d>
            <m:r>
              <w:rPr>
                <w:rFonts w:ascii="Cambria Math" w:hAnsi="Cambria Math"/>
                <w:lang w:eastAsia="zh-CN"/>
              </w:rPr>
              <m:t>,μ</m:t>
            </m:r>
            <m:ctrlPr>
              <w:rPr>
                <w:rFonts w:ascii="Cambria Math" w:hAnsi="Cambria Math"/>
                <w:i/>
                <w:sz w:val="18"/>
                <w:szCs w:val="18"/>
                <w:lang w:eastAsia="zh-CN"/>
              </w:rPr>
            </m:ctrlPr>
          </m:sup>
        </m:sSubSup>
      </m:oMath>
      <w:r>
        <w:rPr>
          <w:rFonts w:hint="eastAsia" w:ascii="Cambria Math" w:hAnsi="Cambria Math"/>
          <w:i w:val="0"/>
          <w:sz w:val="18"/>
          <w:szCs w:val="18"/>
          <w:lang w:val="en-US" w:eastAsia="zh-CN"/>
        </w:rPr>
        <w:t xml:space="preserve"> </w:t>
      </w:r>
      <w:r>
        <w:rPr>
          <w:rFonts w:hint="eastAsia" w:eastAsia="宋体"/>
          <w:lang w:val="en-US" w:eastAsia="zh-CN"/>
        </w:rPr>
        <w:t xml:space="preserve">and </w:t>
      </w:r>
      <w:r>
        <w:t xml:space="preserve"> non-overlapped CCEs, </w:t>
      </w:r>
      <m:oMath>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i/>
                    <w:lang w:eastAsia="zh-CN"/>
                  </w:rPr>
                </m:ctrlPr>
              </m:e>
            </m:d>
            <m:r>
              <w:rPr>
                <w:rFonts w:ascii="Cambria Math" w:hAnsi="Cambria Math"/>
                <w:lang w:eastAsia="zh-CN"/>
              </w:rPr>
              <m:t>,μ</m:t>
            </m:r>
            <m:ctrlPr>
              <w:rPr>
                <w:rFonts w:ascii="Cambria Math" w:hAnsi="Cambria Math"/>
                <w:i/>
                <w:sz w:val="18"/>
                <w:lang w:eastAsia="zh-CN"/>
              </w:rPr>
            </m:ctrlPr>
          </m:sup>
        </m:sSubSup>
      </m:oMath>
      <w:r>
        <w:rPr>
          <w:rFonts w:hint="eastAsia" w:ascii="Cambria Math" w:hAnsi="Cambria Math"/>
          <w:i w:val="0"/>
          <w:sz w:val="18"/>
          <w:lang w:val="en-US" w:eastAsia="zh-CN"/>
        </w:rPr>
        <w:t>,</w:t>
      </w:r>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pPr>
        <w:pStyle w:val="75"/>
        <w:rPr>
          <w:b w:val="0"/>
          <w:bCs/>
        </w:rPr>
      </w:pPr>
      <w:r>
        <w:rPr>
          <w:b w:val="0"/>
          <w:bCs/>
        </w:rPr>
        <w:t xml:space="preserve">Table 1: Maximum number </w:t>
      </w:r>
      <m:oMath>
        <m:sSubSup>
          <m:sSubSupPr>
            <m:ctrlPr>
              <w:rPr>
                <w:rFonts w:ascii="Cambria Math" w:hAnsi="Cambria Math"/>
                <w:b w:val="0"/>
                <w:bCs/>
                <w:i/>
                <w:sz w:val="20"/>
                <w:lang w:eastAsia="zh-CN"/>
              </w:rPr>
            </m:ctrlPr>
          </m:sSubSupPr>
          <m:e>
            <m:r>
              <w:rPr>
                <w:rFonts w:ascii="Cambria Math" w:hAnsi="Cambria Math"/>
                <w:lang w:eastAsia="zh-CN"/>
              </w:rPr>
              <m:t>M</m:t>
            </m:r>
            <m:ctrlPr>
              <w:rPr>
                <w:rFonts w:ascii="Cambria Math" w:hAnsi="Cambria Math"/>
                <w:b w:val="0"/>
                <w:bCs/>
                <w:i/>
                <w:sz w:val="20"/>
                <w:lang w:eastAsia="zh-CN"/>
              </w:rPr>
            </m:ctrlPr>
          </m:e>
          <m:sub>
            <m:r>
              <m:rPr>
                <m:sty m:val="p"/>
              </m:rPr>
              <w:rPr>
                <w:rFonts w:ascii="Cambria Math" w:hAnsi="Cambria Math"/>
                <w:lang w:eastAsia="zh-CN"/>
              </w:rPr>
              <m:t>PDCCH</m:t>
            </m:r>
            <m:ctrlPr>
              <w:rPr>
                <w:rFonts w:ascii="Cambria Math" w:hAnsi="Cambria Math"/>
                <w:b w:val="0"/>
                <w:bCs/>
                <w:i/>
                <w:sz w:val="20"/>
                <w:lang w:eastAsia="zh-CN"/>
              </w:rPr>
            </m:ctrlPr>
          </m:sub>
          <m:sup>
            <m:r>
              <w:rPr>
                <w:rFonts w:ascii="Cambria Math" w:hAnsi="Cambria Math"/>
                <w:lang w:eastAsia="zh-CN"/>
              </w:rPr>
              <m:t>max,(</m:t>
            </m:r>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),μ</m:t>
            </m:r>
            <m:ctrlPr>
              <w:rPr>
                <w:rFonts w:ascii="Cambria Math" w:hAnsi="Cambria Math"/>
                <w:b w:val="0"/>
                <w:bCs/>
                <w:i/>
                <w:sz w:val="20"/>
                <w:lang w:eastAsia="zh-CN"/>
              </w:rPr>
            </m:ctrlPr>
          </m:sup>
        </m:sSubSup>
      </m:oMath>
      <w:r>
        <w:rPr>
          <w:b w:val="0"/>
          <w:bCs/>
        </w:rPr>
        <w:t xml:space="preserve"> of monitored PDCCH candidates per </w:t>
      </w:r>
      <w:r>
        <w:rPr>
          <w:b w:val="0"/>
          <w:bCs/>
          <w:sz w:val="20"/>
          <w:szCs w:val="20"/>
        </w:rPr>
        <w:t xml:space="preserve">slot group for combination </w:t>
      </w:r>
      <m:oMath>
        <m:d>
          <m:dPr>
            <m:ctrlPr>
              <w:rPr>
                <w:rFonts w:ascii="Cambria Math" w:hAnsi="Cambria Math"/>
                <w:b w:val="0"/>
                <w:bCs/>
                <w:i/>
              </w:rPr>
            </m:ctrlPr>
          </m:dPr>
          <m:e>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ctrlPr>
              <w:rPr>
                <w:rFonts w:ascii="Cambria Math" w:hAnsi="Cambria Math"/>
                <w:b w:val="0"/>
                <w:bCs/>
                <w:i/>
              </w:rPr>
            </m:ctrlPr>
          </m:e>
        </m:d>
      </m:oMath>
      <w:r>
        <w:rPr>
          <w:b w:val="0"/>
          <w:bCs/>
        </w:rPr>
        <w:t xml:space="preserve"> for a DL BWP with SCS configuration </w:t>
      </w:r>
      <m:oMath>
        <m:r>
          <w:rPr>
            <w:rFonts w:ascii="Cambria Math" w:hAnsi="Cambria Math"/>
            <w:lang w:eastAsia="zh-CN"/>
          </w:rPr>
          <m:t>μ∈</m:t>
        </m:r>
        <m:d>
          <m:dPr>
            <m:begChr m:val="{"/>
            <m:endChr m:val="}"/>
            <m:ctrlPr>
              <w:rPr>
                <w:rFonts w:ascii="Cambria Math" w:hAnsi="Cambria Math"/>
                <w:b w:val="0"/>
                <w:bCs/>
                <w:i/>
                <w:sz w:val="20"/>
                <w:szCs w:val="20"/>
                <w:lang w:eastAsia="zh-CN"/>
              </w:rPr>
            </m:ctrlPr>
          </m:dPr>
          <m:e>
            <m:r>
              <w:rPr>
                <w:rFonts w:ascii="Cambria Math" w:hAnsi="Cambria Math"/>
                <w:lang w:eastAsia="zh-CN"/>
              </w:rPr>
              <m:t>5, 6</m:t>
            </m:r>
            <m:ctrlPr>
              <w:rPr>
                <w:rFonts w:ascii="Cambria Math" w:hAnsi="Cambria Math"/>
                <w:b w:val="0"/>
                <w:bCs/>
                <w:i/>
                <w:sz w:val="20"/>
                <w:szCs w:val="20"/>
                <w:lang w:eastAsia="zh-CN"/>
              </w:rPr>
            </m:ctrlPr>
          </m:e>
        </m:d>
      </m:oMath>
      <w:r>
        <w:rPr>
          <w:b w:val="0"/>
          <w:bCs/>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7"/>
              <w:rPr>
                <w:rFonts w:ascii="Times New Roman" w:hAnsi="Times New Roman"/>
                <w:b w:val="0"/>
                <w:bCs/>
                <w:sz w:val="20"/>
              </w:rPr>
            </w:pPr>
          </w:p>
        </w:tc>
        <w:tc>
          <w:tcPr>
            <w:tcW w:w="5861" w:type="dxa"/>
            <w:gridSpan w:val="4"/>
            <w:shd w:val="clear" w:color="auto" w:fill="E0E0E0"/>
            <w:vAlign w:val="center"/>
          </w:tcPr>
          <w:p>
            <w:pPr>
              <w:pStyle w:val="75"/>
              <w:spacing w:before="0" w:after="0"/>
              <w:rPr>
                <w:b w:val="0"/>
                <w:bCs/>
                <w:sz w:val="20"/>
                <w:szCs w:val="20"/>
              </w:rPr>
            </w:pPr>
            <w:r>
              <w:rPr>
                <w:b w:val="0"/>
                <w:bCs/>
                <w:sz w:val="20"/>
                <w:szCs w:val="20"/>
              </w:rPr>
              <w:t xml:space="preserve">Maximum number </w:t>
            </w:r>
            <m:oMath>
              <m:sSubSup>
                <m:sSubSupPr>
                  <m:ctrlPr>
                    <w:rPr>
                      <w:rFonts w:ascii="Cambria Math" w:hAnsi="Cambria Math"/>
                      <w:b w:val="0"/>
                      <w:bCs/>
                      <w:i/>
                      <w:sz w:val="20"/>
                      <w:szCs w:val="20"/>
                      <w:lang w:eastAsia="zh-CN"/>
                    </w:rPr>
                  </m:ctrlPr>
                </m:sSubSupPr>
                <m:e>
                  <m:r>
                    <w:rPr>
                      <w:rFonts w:ascii="Cambria Math" w:hAnsi="Cambria Math"/>
                      <w:sz w:val="20"/>
                      <w:szCs w:val="20"/>
                      <w:lang w:eastAsia="zh-CN"/>
                    </w:rPr>
                    <m:t>M</m:t>
                  </m:r>
                  <m:ctrlPr>
                    <w:rPr>
                      <w:rFonts w:ascii="Cambria Math" w:hAnsi="Cambria Math"/>
                      <w:b w:val="0"/>
                      <w:bCs/>
                      <w:i/>
                      <w:sz w:val="20"/>
                      <w:szCs w:val="20"/>
                      <w:lang w:eastAsia="zh-CN"/>
                    </w:rPr>
                  </m:ctrlPr>
                </m:e>
                <m:sub>
                  <m:r>
                    <m:rPr>
                      <m:sty m:val="p"/>
                    </m:rPr>
                    <w:rPr>
                      <w:rFonts w:ascii="Cambria Math" w:hAnsi="Cambria Math"/>
                      <w:sz w:val="20"/>
                      <w:szCs w:val="20"/>
                      <w:lang w:eastAsia="zh-CN"/>
                    </w:rPr>
                    <m:t>PDCCH</m:t>
                  </m:r>
                  <m:ctrlPr>
                    <w:rPr>
                      <w:rFonts w:ascii="Cambria Math" w:hAnsi="Cambria Math"/>
                      <w:b w:val="0"/>
                      <w:bCs/>
                      <w:i/>
                      <w:sz w:val="20"/>
                      <w:szCs w:val="20"/>
                      <w:lang w:eastAsia="zh-CN"/>
                    </w:rPr>
                  </m:ctrlPr>
                </m:sub>
                <m:sup>
                  <m:r>
                    <w:rPr>
                      <w:rFonts w:ascii="Cambria Math" w:hAnsi="Cambria Math"/>
                      <w:sz w:val="20"/>
                      <w:szCs w:val="20"/>
                      <w:lang w:eastAsia="zh-CN"/>
                    </w:rPr>
                    <m:t>max,</m:t>
                  </m:r>
                  <m:d>
                    <m:dPr>
                      <m:ctrlPr>
                        <w:rPr>
                          <w:rFonts w:ascii="Cambria Math" w:hAnsi="Cambria Math"/>
                          <w:b w:val="0"/>
                          <w:bCs/>
                          <w:i/>
                          <w:sz w:val="20"/>
                          <w:szCs w:val="20"/>
                          <w:lang w:eastAsia="zh-CN"/>
                        </w:rPr>
                      </m:ctrlPr>
                    </m:dPr>
                    <m:e>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ctrlPr>
                        <w:rPr>
                          <w:rFonts w:ascii="Cambria Math" w:hAnsi="Cambria Math"/>
                          <w:b w:val="0"/>
                          <w:bCs/>
                          <w:i/>
                          <w:sz w:val="20"/>
                          <w:szCs w:val="20"/>
                          <w:lang w:eastAsia="zh-CN"/>
                        </w:rPr>
                      </m:ctrlPr>
                    </m:e>
                  </m:d>
                  <m:r>
                    <w:rPr>
                      <w:rFonts w:ascii="Cambria Math" w:hAnsi="Cambria Math"/>
                      <w:sz w:val="20"/>
                      <w:szCs w:val="20"/>
                      <w:lang w:eastAsia="zh-CN"/>
                    </w:rPr>
                    <m:t>,μ</m:t>
                  </m:r>
                  <m:ctrlPr>
                    <w:rPr>
                      <w:rFonts w:ascii="Cambria Math" w:hAnsi="Cambria Math"/>
                      <w:b w:val="0"/>
                      <w:bCs/>
                      <w:i/>
                      <w:sz w:val="20"/>
                      <w:szCs w:val="20"/>
                      <w:lang w:eastAsia="zh-CN"/>
                    </w:rPr>
                  </m:ctrlPr>
                </m:sup>
              </m:sSubSup>
            </m:oMath>
            <w:r>
              <w:rPr>
                <w:b w:val="0"/>
                <w:bCs/>
                <w:sz w:val="20"/>
                <w:szCs w:val="20"/>
                <w:lang w:eastAsia="zh-CN"/>
              </w:rPr>
              <w:t xml:space="preserve"> </w:t>
            </w:r>
            <w:r>
              <w:rPr>
                <w:b w:val="0"/>
                <w:bCs/>
                <w:sz w:val="20"/>
                <w:szCs w:val="20"/>
              </w:rPr>
              <w:t xml:space="preserve">of monitored PDCCH candidates per </w:t>
            </w:r>
            <w:r>
              <w:rPr>
                <w:b w:val="0"/>
                <w:bCs/>
              </w:rPr>
              <w:t xml:space="preserve">combination </w:t>
            </w:r>
            <m:oMath>
              <m:d>
                <m:dPr>
                  <m:ctrlPr>
                    <w:rPr>
                      <w:rFonts w:ascii="Cambria Math" w:hAnsi="Cambria Math"/>
                      <w:b w:val="0"/>
                      <w:bCs/>
                      <w:i/>
                    </w:rPr>
                  </m:ctrlPr>
                </m:dPr>
                <m:e>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ctrlPr>
                    <w:rPr>
                      <w:rFonts w:ascii="Cambria Math" w:hAnsi="Cambria Math"/>
                      <w:b w:val="0"/>
                      <w:bCs/>
                      <w:i/>
                    </w:rPr>
                  </m:ctrlPr>
                </m:e>
              </m:d>
            </m:oMath>
            <w:r>
              <w:rPr>
                <w:b w:val="0"/>
                <w:bCs/>
                <w:sz w:val="20"/>
                <w:szCs w:val="20"/>
              </w:rPr>
              <w:t xml:space="preserve"> and per serving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Cs/>
                <w:sz w:val="20"/>
              </w:rPr>
            </w:pPr>
            <m:oMathPara>
              <m:oMath>
                <m:r>
                  <w:rPr>
                    <w:rFonts w:ascii="Cambria Math" w:hAnsi="Cambria Math"/>
                    <w:sz w:val="20"/>
                    <w:lang w:eastAsia="zh-CN"/>
                  </w:rPr>
                  <m:t>μ</m:t>
                </m:r>
              </m:oMath>
            </m:oMathPara>
          </w:p>
        </w:tc>
        <w:tc>
          <w:tcPr>
            <w:tcW w:w="1451" w:type="dxa"/>
            <w:vAlign w:val="center"/>
          </w:tcPr>
          <w:p>
            <w:pPr>
              <w:pStyle w:val="48"/>
              <w:rPr>
                <w:bCs/>
                <w:sz w:val="20"/>
              </w:rPr>
            </w:pPr>
            <w:r>
              <w:rPr>
                <w:bCs/>
                <w:sz w:val="20"/>
              </w:rPr>
              <w:t>(4, 1)</w:t>
            </w:r>
          </w:p>
        </w:tc>
        <w:tc>
          <w:tcPr>
            <w:tcW w:w="1530" w:type="dxa"/>
          </w:tcPr>
          <w:p>
            <w:pPr>
              <w:pStyle w:val="48"/>
              <w:rPr>
                <w:bCs/>
                <w:sz w:val="20"/>
              </w:rPr>
            </w:pPr>
            <w:r>
              <w:rPr>
                <w:bCs/>
                <w:sz w:val="20"/>
              </w:rPr>
              <w:t>(4, 2)</w:t>
            </w:r>
          </w:p>
        </w:tc>
        <w:tc>
          <w:tcPr>
            <w:tcW w:w="1440" w:type="dxa"/>
          </w:tcPr>
          <w:p>
            <w:pPr>
              <w:pStyle w:val="48"/>
              <w:rPr>
                <w:bCs/>
                <w:sz w:val="20"/>
              </w:rPr>
            </w:pPr>
            <w:r>
              <w:rPr>
                <w:bCs/>
                <w:sz w:val="20"/>
              </w:rPr>
              <w:t>(8, 1)</w:t>
            </w:r>
          </w:p>
        </w:tc>
        <w:tc>
          <w:tcPr>
            <w:tcW w:w="1440" w:type="dxa"/>
          </w:tcPr>
          <w:p>
            <w:pPr>
              <w:pStyle w:val="48"/>
              <w:rPr>
                <w:bCs/>
                <w:sz w:val="20"/>
              </w:rPr>
            </w:pPr>
            <w:r>
              <w:rPr>
                <w:bCs/>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Cs/>
                <w:sz w:val="20"/>
              </w:rPr>
            </w:pPr>
            <w:r>
              <w:rPr>
                <w:bCs/>
                <w:sz w:val="20"/>
              </w:rPr>
              <w:t>5</w:t>
            </w:r>
          </w:p>
        </w:tc>
        <w:tc>
          <w:tcPr>
            <w:tcW w:w="1451" w:type="dxa"/>
            <w:vAlign w:val="center"/>
          </w:tcPr>
          <w:p>
            <w:pPr>
              <w:pStyle w:val="48"/>
              <w:rPr>
                <w:bCs/>
                <w:sz w:val="20"/>
              </w:rPr>
            </w:pPr>
            <w:r>
              <w:rPr>
                <w:bCs/>
                <w:sz w:val="20"/>
              </w:rPr>
              <w:t>20</w:t>
            </w:r>
          </w:p>
        </w:tc>
        <w:tc>
          <w:tcPr>
            <w:tcW w:w="1530" w:type="dxa"/>
          </w:tcPr>
          <w:p>
            <w:pPr>
              <w:pStyle w:val="48"/>
              <w:rPr>
                <w:bCs/>
                <w:sz w:val="20"/>
              </w:rPr>
            </w:pPr>
            <w:r>
              <w:rPr>
                <w:bCs/>
                <w:sz w:val="20"/>
              </w:rPr>
              <w:t>20</w:t>
            </w:r>
          </w:p>
        </w:tc>
        <w:tc>
          <w:tcPr>
            <w:tcW w:w="1440" w:type="dxa"/>
          </w:tcPr>
          <w:p>
            <w:pPr>
              <w:pStyle w:val="48"/>
              <w:rPr>
                <w:bCs/>
                <w:sz w:val="20"/>
              </w:rPr>
            </w:pPr>
            <w:r>
              <w:rPr>
                <w:bCs/>
                <w:sz w:val="20"/>
              </w:rPr>
              <w:t>-</w:t>
            </w:r>
          </w:p>
        </w:tc>
        <w:tc>
          <w:tcPr>
            <w:tcW w:w="1440" w:type="dxa"/>
          </w:tcPr>
          <w:p>
            <w:pPr>
              <w:pStyle w:val="48"/>
              <w:rPr>
                <w:bCs/>
                <w:sz w:val="20"/>
              </w:rPr>
            </w:pPr>
            <w:r>
              <w:rPr>
                <w:bCs/>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Cs/>
                <w:sz w:val="20"/>
              </w:rPr>
            </w:pPr>
            <w:r>
              <w:rPr>
                <w:bCs/>
                <w:sz w:val="20"/>
              </w:rPr>
              <w:t>6</w:t>
            </w:r>
          </w:p>
        </w:tc>
        <w:tc>
          <w:tcPr>
            <w:tcW w:w="1451" w:type="dxa"/>
            <w:vAlign w:val="center"/>
          </w:tcPr>
          <w:p>
            <w:pPr>
              <w:pStyle w:val="48"/>
              <w:rPr>
                <w:bCs/>
                <w:color w:val="0000FF"/>
                <w:sz w:val="20"/>
              </w:rPr>
            </w:pPr>
            <w:r>
              <w:rPr>
                <w:bCs/>
                <w:color w:val="0000FF"/>
                <w:sz w:val="20"/>
              </w:rPr>
              <w:t>10</w:t>
            </w:r>
          </w:p>
        </w:tc>
        <w:tc>
          <w:tcPr>
            <w:tcW w:w="1530" w:type="dxa"/>
          </w:tcPr>
          <w:p>
            <w:pPr>
              <w:pStyle w:val="48"/>
              <w:rPr>
                <w:bCs/>
                <w:color w:val="0000FF"/>
                <w:sz w:val="20"/>
              </w:rPr>
            </w:pPr>
            <w:r>
              <w:rPr>
                <w:bCs/>
                <w:color w:val="0000FF"/>
                <w:sz w:val="20"/>
              </w:rPr>
              <w:t>10</w:t>
            </w:r>
          </w:p>
        </w:tc>
        <w:tc>
          <w:tcPr>
            <w:tcW w:w="1440" w:type="dxa"/>
          </w:tcPr>
          <w:p>
            <w:pPr>
              <w:pStyle w:val="48"/>
              <w:rPr>
                <w:bCs/>
                <w:sz w:val="20"/>
              </w:rPr>
            </w:pPr>
            <w:r>
              <w:rPr>
                <w:bCs/>
                <w:sz w:val="20"/>
              </w:rPr>
              <w:t>20</w:t>
            </w:r>
          </w:p>
        </w:tc>
        <w:tc>
          <w:tcPr>
            <w:tcW w:w="1440" w:type="dxa"/>
          </w:tcPr>
          <w:p>
            <w:pPr>
              <w:pStyle w:val="48"/>
              <w:rPr>
                <w:bCs/>
                <w:sz w:val="20"/>
              </w:rPr>
            </w:pPr>
            <w:r>
              <w:rPr>
                <w:bCs/>
                <w:sz w:val="20"/>
              </w:rPr>
              <w:t>20</w:t>
            </w:r>
          </w:p>
        </w:tc>
      </w:tr>
    </w:tbl>
    <w:p>
      <w:pPr>
        <w:numPr>
          <w:ilvl w:val="1"/>
          <w:numId w:val="0"/>
        </w:numPr>
        <w:snapToGrid w:val="0"/>
        <w:spacing w:after="240" w:line="260" w:lineRule="auto"/>
        <w:ind w:left="0" w:firstLine="0"/>
        <w:jc w:val="both"/>
        <w:rPr>
          <w:rFonts w:hint="eastAsia" w:eastAsia="宋体"/>
          <w:b w:val="0"/>
          <w:bCs/>
          <w:lang w:val="en-US" w:eastAsia="zh-CN"/>
        </w:rPr>
      </w:pPr>
    </w:p>
    <w:p>
      <w:pPr>
        <w:pStyle w:val="75"/>
        <w:rPr>
          <w:b w:val="0"/>
          <w:bCs/>
        </w:rPr>
      </w:pPr>
      <w:r>
        <w:rPr>
          <w:b w:val="0"/>
          <w:bCs/>
        </w:rPr>
        <w:t xml:space="preserve">Table </w:t>
      </w:r>
      <w:r>
        <w:rPr>
          <w:rFonts w:hint="eastAsia"/>
          <w:b w:val="0"/>
          <w:bCs/>
          <w:lang w:val="en-US" w:eastAsia="zh-CN"/>
        </w:rPr>
        <w:t>2</w:t>
      </w:r>
      <w:r>
        <w:rPr>
          <w:b w:val="0"/>
          <w:bCs/>
        </w:rPr>
        <w:t xml:space="preserve">: Maximum number </w:t>
      </w:r>
      <m:oMath>
        <m:sSubSup>
          <m:sSubSupPr>
            <m:ctrlPr>
              <w:rPr>
                <w:rFonts w:ascii="Cambria Math" w:hAnsi="Cambria Math"/>
                <w:b w:val="0"/>
                <w:bCs/>
                <w:i/>
                <w:sz w:val="20"/>
                <w:lang w:eastAsia="zh-CN"/>
              </w:rPr>
            </m:ctrlPr>
          </m:sSubSupPr>
          <m:e>
            <m:r>
              <w:rPr>
                <w:rFonts w:ascii="Cambria Math" w:hAnsi="Cambria Math"/>
                <w:lang w:eastAsia="zh-CN"/>
              </w:rPr>
              <m:t>C</m:t>
            </m:r>
            <m:ctrlPr>
              <w:rPr>
                <w:rFonts w:ascii="Cambria Math" w:hAnsi="Cambria Math"/>
                <w:b w:val="0"/>
                <w:bCs/>
                <w:i/>
                <w:sz w:val="20"/>
                <w:lang w:eastAsia="zh-CN"/>
              </w:rPr>
            </m:ctrlPr>
          </m:e>
          <m:sub>
            <m:r>
              <m:rPr>
                <m:sty m:val="p"/>
              </m:rPr>
              <w:rPr>
                <w:rFonts w:ascii="Cambria Math" w:hAnsi="Cambria Math"/>
                <w:lang w:eastAsia="zh-CN"/>
              </w:rPr>
              <m:t>PDCCH</m:t>
            </m:r>
            <m:ctrlPr>
              <w:rPr>
                <w:rFonts w:ascii="Cambria Math" w:hAnsi="Cambria Math"/>
                <w:b w:val="0"/>
                <w:bCs/>
                <w:i/>
                <w:sz w:val="20"/>
                <w:lang w:eastAsia="zh-CN"/>
              </w:rPr>
            </m:ctrlPr>
          </m:sub>
          <m:sup>
            <m:r>
              <w:rPr>
                <w:rFonts w:ascii="Cambria Math" w:hAnsi="Cambria Math"/>
                <w:lang w:eastAsia="zh-CN"/>
              </w:rPr>
              <m:t>max,(</m:t>
            </m:r>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),μ</m:t>
            </m:r>
            <m:ctrlPr>
              <w:rPr>
                <w:rFonts w:ascii="Cambria Math" w:hAnsi="Cambria Math"/>
                <w:b w:val="0"/>
                <w:bCs/>
                <w:i/>
                <w:sz w:val="20"/>
                <w:lang w:eastAsia="zh-CN"/>
              </w:rPr>
            </m:ctrlPr>
          </m:sup>
        </m:sSubSup>
      </m:oMath>
      <w:r>
        <w:rPr>
          <w:b w:val="0"/>
          <w:bCs/>
        </w:rPr>
        <w:t xml:space="preserve"> of non-overlapped CCEs in a slot group for combination </w:t>
      </w:r>
      <m:oMath>
        <m:d>
          <m:dPr>
            <m:ctrlPr>
              <w:rPr>
                <w:rFonts w:ascii="Cambria Math" w:hAnsi="Cambria Math"/>
                <w:b w:val="0"/>
                <w:bCs/>
                <w:i/>
              </w:rPr>
            </m:ctrlPr>
          </m:dPr>
          <m:e>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ctrlPr>
              <w:rPr>
                <w:rFonts w:ascii="Cambria Math" w:hAnsi="Cambria Math"/>
                <w:b w:val="0"/>
                <w:bCs/>
                <w:i/>
              </w:rPr>
            </m:ctrlPr>
          </m:e>
        </m:d>
      </m:oMath>
      <w:r>
        <w:rPr>
          <w:b w:val="0"/>
          <w:bCs/>
        </w:rPr>
        <w:t xml:space="preserve"> for a DL BWP with SCS configuration </w:t>
      </w:r>
      <m:oMath>
        <m:r>
          <w:rPr>
            <w:rFonts w:ascii="Cambria Math" w:hAnsi="Cambria Math"/>
            <w:lang w:eastAsia="zh-CN"/>
          </w:rPr>
          <m:t>μ∈</m:t>
        </m:r>
        <m:d>
          <m:dPr>
            <m:begChr m:val="{"/>
            <m:endChr m:val="}"/>
            <m:ctrlPr>
              <w:rPr>
                <w:rFonts w:ascii="Cambria Math" w:hAnsi="Cambria Math"/>
                <w:b w:val="0"/>
                <w:bCs/>
                <w:i/>
                <w:sz w:val="20"/>
                <w:szCs w:val="20"/>
                <w:lang w:eastAsia="zh-CN"/>
              </w:rPr>
            </m:ctrlPr>
          </m:dPr>
          <m:e>
            <m:r>
              <w:rPr>
                <w:rFonts w:ascii="Cambria Math" w:hAnsi="Cambria Math"/>
                <w:lang w:eastAsia="zh-CN"/>
              </w:rPr>
              <m:t>5, 6</m:t>
            </m:r>
            <m:ctrlPr>
              <w:rPr>
                <w:rFonts w:ascii="Cambria Math" w:hAnsi="Cambria Math"/>
                <w:b w:val="0"/>
                <w:bCs/>
                <w:i/>
                <w:sz w:val="20"/>
                <w:szCs w:val="20"/>
                <w:lang w:eastAsia="zh-CN"/>
              </w:rPr>
            </m:ctrlPr>
          </m:e>
        </m:d>
      </m:oMath>
      <w:r>
        <w:rPr>
          <w:b w:val="0"/>
          <w:bCs/>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7"/>
              <w:rPr>
                <w:rFonts w:ascii="Times New Roman" w:hAnsi="Times New Roman"/>
                <w:b w:val="0"/>
                <w:bCs/>
                <w:sz w:val="20"/>
              </w:rPr>
            </w:pPr>
          </w:p>
        </w:tc>
        <w:tc>
          <w:tcPr>
            <w:tcW w:w="5861" w:type="dxa"/>
            <w:gridSpan w:val="4"/>
            <w:shd w:val="clear" w:color="auto" w:fill="E0E0E0"/>
            <w:vAlign w:val="center"/>
          </w:tcPr>
          <w:p>
            <w:pPr>
              <w:pStyle w:val="75"/>
              <w:spacing w:before="0" w:after="0"/>
              <w:rPr>
                <w:b w:val="0"/>
                <w:bCs/>
                <w:sz w:val="20"/>
                <w:szCs w:val="20"/>
              </w:rPr>
            </w:pPr>
            <w:r>
              <w:rPr>
                <w:b w:val="0"/>
                <w:bCs/>
                <w:sz w:val="20"/>
                <w:szCs w:val="20"/>
              </w:rPr>
              <w:t xml:space="preserve">Maximum number of non-overlapped CCEs per </w:t>
            </w:r>
            <w:r>
              <w:rPr>
                <w:b w:val="0"/>
                <w:bCs/>
              </w:rPr>
              <w:t xml:space="preserve">combination </w:t>
            </w:r>
            <m:oMath>
              <m:d>
                <m:dPr>
                  <m:ctrlPr>
                    <w:rPr>
                      <w:rFonts w:ascii="Cambria Math" w:hAnsi="Cambria Math"/>
                      <w:b w:val="0"/>
                      <w:bCs/>
                      <w:i/>
                    </w:rPr>
                  </m:ctrlPr>
                </m:dPr>
                <m:e>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ctrlPr>
                    <w:rPr>
                      <w:rFonts w:ascii="Cambria Math" w:hAnsi="Cambria Math"/>
                      <w:b w:val="0"/>
                      <w:bCs/>
                      <w:i/>
                    </w:rPr>
                  </m:ctrlPr>
                </m:e>
              </m:d>
            </m:oMath>
            <w:r>
              <w:rPr>
                <w:b w:val="0"/>
                <w:bCs/>
                <w:sz w:val="20"/>
                <w:szCs w:val="20"/>
              </w:rPr>
              <w:t xml:space="preserve"> and per serving cell </w:t>
            </w:r>
            <m:oMath>
              <m:sSubSup>
                <m:sSubSupPr>
                  <m:ctrlPr>
                    <w:rPr>
                      <w:rFonts w:ascii="Cambria Math" w:hAnsi="Cambria Math"/>
                      <w:b w:val="0"/>
                      <w:bCs/>
                      <w:i/>
                      <w:sz w:val="20"/>
                      <w:szCs w:val="20"/>
                      <w:lang w:eastAsia="zh-CN"/>
                    </w:rPr>
                  </m:ctrlPr>
                </m:sSubSupPr>
                <m:e>
                  <m:r>
                    <w:rPr>
                      <w:rFonts w:ascii="Cambria Math" w:hAnsi="Cambria Math"/>
                      <w:sz w:val="20"/>
                      <w:szCs w:val="20"/>
                      <w:lang w:eastAsia="zh-CN"/>
                    </w:rPr>
                    <m:t>C</m:t>
                  </m:r>
                  <m:ctrlPr>
                    <w:rPr>
                      <w:rFonts w:ascii="Cambria Math" w:hAnsi="Cambria Math"/>
                      <w:b w:val="0"/>
                      <w:bCs/>
                      <w:i/>
                      <w:sz w:val="20"/>
                      <w:szCs w:val="20"/>
                      <w:lang w:eastAsia="zh-CN"/>
                    </w:rPr>
                  </m:ctrlPr>
                </m:e>
                <m:sub>
                  <m:r>
                    <m:rPr>
                      <m:sty m:val="p"/>
                    </m:rPr>
                    <w:rPr>
                      <w:rFonts w:ascii="Cambria Math" w:hAnsi="Cambria Math"/>
                      <w:sz w:val="20"/>
                      <w:szCs w:val="20"/>
                      <w:lang w:eastAsia="zh-CN"/>
                    </w:rPr>
                    <m:t>PDCCH</m:t>
                  </m:r>
                  <m:ctrlPr>
                    <w:rPr>
                      <w:rFonts w:ascii="Cambria Math" w:hAnsi="Cambria Math"/>
                      <w:b w:val="0"/>
                      <w:bCs/>
                      <w:i/>
                      <w:sz w:val="20"/>
                      <w:szCs w:val="20"/>
                      <w:lang w:eastAsia="zh-CN"/>
                    </w:rPr>
                  </m:ctrlPr>
                </m:sub>
                <m:sup>
                  <m:r>
                    <w:rPr>
                      <w:rFonts w:ascii="Cambria Math" w:hAnsi="Cambria Math"/>
                      <w:lang w:eastAsia="zh-CN"/>
                    </w:rPr>
                    <m:t>max,(</m:t>
                  </m:r>
                  <m:sSub>
                    <m:sSubPr>
                      <m:ctrlPr>
                        <w:rPr>
                          <w:rFonts w:ascii="Cambria Math" w:hAnsi="Cambria Math"/>
                          <w:b w:val="0"/>
                          <w:bCs/>
                          <w:i/>
                          <w:lang w:eastAsia="zh-CN"/>
                        </w:rPr>
                      </m:ctrlPr>
                    </m:sSubPr>
                    <m:e>
                      <m:r>
                        <w:rPr>
                          <w:rFonts w:ascii="Cambria Math" w:hAnsi="Cambria Math"/>
                          <w:lang w:eastAsia="zh-CN"/>
                        </w:rPr>
                        <m:t>X</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m:t>
                  </m:r>
                  <m:sSub>
                    <m:sSubPr>
                      <m:ctrlPr>
                        <w:rPr>
                          <w:rFonts w:ascii="Cambria Math" w:hAnsi="Cambria Math"/>
                          <w:b w:val="0"/>
                          <w:bCs/>
                          <w:i/>
                          <w:lang w:eastAsia="zh-CN"/>
                        </w:rPr>
                      </m:ctrlPr>
                    </m:sSubPr>
                    <m:e>
                      <m:r>
                        <w:rPr>
                          <w:rFonts w:ascii="Cambria Math" w:hAnsi="Cambria Math"/>
                          <w:lang w:eastAsia="zh-CN"/>
                        </w:rPr>
                        <m:t>Y</m:t>
                      </m:r>
                      <m:ctrlPr>
                        <w:rPr>
                          <w:rFonts w:ascii="Cambria Math" w:hAnsi="Cambria Math"/>
                          <w:b w:val="0"/>
                          <w:bCs/>
                          <w:i/>
                          <w:lang w:eastAsia="zh-CN"/>
                        </w:rPr>
                      </m:ctrlPr>
                    </m:e>
                    <m:sub>
                      <m:r>
                        <w:rPr>
                          <w:rFonts w:ascii="Cambria Math" w:hAnsi="Cambria Math"/>
                          <w:lang w:eastAsia="zh-CN"/>
                        </w:rPr>
                        <m:t>s</m:t>
                      </m:r>
                      <m:ctrlPr>
                        <w:rPr>
                          <w:rFonts w:ascii="Cambria Math" w:hAnsi="Cambria Math"/>
                          <w:b w:val="0"/>
                          <w:bCs/>
                          <w:i/>
                          <w:lang w:eastAsia="zh-CN"/>
                        </w:rPr>
                      </m:ctrlPr>
                    </m:sub>
                  </m:sSub>
                  <m:r>
                    <w:rPr>
                      <w:rFonts w:ascii="Cambria Math" w:hAnsi="Cambria Math"/>
                      <w:lang w:eastAsia="zh-CN"/>
                    </w:rPr>
                    <m:t>),μ</m:t>
                  </m:r>
                  <m:ctrlPr>
                    <w:rPr>
                      <w:rFonts w:ascii="Cambria Math" w:hAnsi="Cambria Math"/>
                      <w:b w:val="0"/>
                      <w:bCs/>
                      <w:i/>
                      <w:sz w:val="20"/>
                      <w:szCs w:val="20"/>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Cs/>
                <w:sz w:val="20"/>
              </w:rPr>
            </w:pPr>
            <m:oMathPara>
              <m:oMath>
                <m:r>
                  <w:rPr>
                    <w:rFonts w:ascii="Cambria Math" w:hAnsi="Cambria Math"/>
                    <w:sz w:val="20"/>
                    <w:lang w:eastAsia="zh-CN"/>
                  </w:rPr>
                  <m:t>μ</m:t>
                </m:r>
              </m:oMath>
            </m:oMathPara>
          </w:p>
        </w:tc>
        <w:tc>
          <w:tcPr>
            <w:tcW w:w="1451" w:type="dxa"/>
            <w:vAlign w:val="center"/>
          </w:tcPr>
          <w:p>
            <w:pPr>
              <w:pStyle w:val="48"/>
              <w:rPr>
                <w:bCs/>
                <w:sz w:val="20"/>
              </w:rPr>
            </w:pPr>
            <w:r>
              <w:rPr>
                <w:bCs/>
                <w:sz w:val="20"/>
              </w:rPr>
              <w:t>(4, 1)</w:t>
            </w:r>
          </w:p>
        </w:tc>
        <w:tc>
          <w:tcPr>
            <w:tcW w:w="1530" w:type="dxa"/>
          </w:tcPr>
          <w:p>
            <w:pPr>
              <w:pStyle w:val="48"/>
              <w:rPr>
                <w:bCs/>
                <w:sz w:val="20"/>
              </w:rPr>
            </w:pPr>
            <w:r>
              <w:rPr>
                <w:bCs/>
                <w:sz w:val="20"/>
              </w:rPr>
              <w:t>(4, 2)</w:t>
            </w:r>
          </w:p>
        </w:tc>
        <w:tc>
          <w:tcPr>
            <w:tcW w:w="1440" w:type="dxa"/>
          </w:tcPr>
          <w:p>
            <w:pPr>
              <w:pStyle w:val="48"/>
              <w:rPr>
                <w:bCs/>
                <w:sz w:val="20"/>
              </w:rPr>
            </w:pPr>
            <w:r>
              <w:rPr>
                <w:bCs/>
                <w:sz w:val="20"/>
              </w:rPr>
              <w:t>(8, 1)</w:t>
            </w:r>
          </w:p>
        </w:tc>
        <w:tc>
          <w:tcPr>
            <w:tcW w:w="1440" w:type="dxa"/>
          </w:tcPr>
          <w:p>
            <w:pPr>
              <w:pStyle w:val="48"/>
              <w:rPr>
                <w:bCs/>
                <w:sz w:val="20"/>
              </w:rPr>
            </w:pPr>
            <w:r>
              <w:rPr>
                <w:bCs/>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Cs/>
                <w:sz w:val="20"/>
              </w:rPr>
            </w:pPr>
            <w:r>
              <w:rPr>
                <w:bCs/>
                <w:sz w:val="20"/>
              </w:rPr>
              <w:t>5</w:t>
            </w:r>
          </w:p>
        </w:tc>
        <w:tc>
          <w:tcPr>
            <w:tcW w:w="1451" w:type="dxa"/>
          </w:tcPr>
          <w:p>
            <w:pPr>
              <w:pStyle w:val="48"/>
              <w:rPr>
                <w:bCs/>
                <w:sz w:val="20"/>
              </w:rPr>
            </w:pPr>
            <w:r>
              <w:rPr>
                <w:bCs/>
                <w:sz w:val="20"/>
              </w:rPr>
              <w:t>32</w:t>
            </w:r>
          </w:p>
        </w:tc>
        <w:tc>
          <w:tcPr>
            <w:tcW w:w="1530" w:type="dxa"/>
          </w:tcPr>
          <w:p>
            <w:pPr>
              <w:pStyle w:val="48"/>
              <w:rPr>
                <w:bCs/>
                <w:sz w:val="20"/>
              </w:rPr>
            </w:pPr>
            <w:r>
              <w:rPr>
                <w:bCs/>
                <w:sz w:val="20"/>
              </w:rPr>
              <w:t>32</w:t>
            </w:r>
          </w:p>
        </w:tc>
        <w:tc>
          <w:tcPr>
            <w:tcW w:w="1440" w:type="dxa"/>
          </w:tcPr>
          <w:p>
            <w:pPr>
              <w:pStyle w:val="48"/>
              <w:rPr>
                <w:bCs/>
                <w:sz w:val="20"/>
              </w:rPr>
            </w:pPr>
            <w:r>
              <w:rPr>
                <w:bCs/>
                <w:sz w:val="20"/>
              </w:rPr>
              <w:t>-</w:t>
            </w:r>
          </w:p>
        </w:tc>
        <w:tc>
          <w:tcPr>
            <w:tcW w:w="1440" w:type="dxa"/>
          </w:tcPr>
          <w:p>
            <w:pPr>
              <w:pStyle w:val="48"/>
              <w:rPr>
                <w:bCs/>
                <w:sz w:val="20"/>
              </w:rPr>
            </w:pPr>
            <w:r>
              <w:rPr>
                <w:bCs/>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Cs/>
                <w:sz w:val="20"/>
              </w:rPr>
            </w:pPr>
            <w:r>
              <w:rPr>
                <w:bCs/>
                <w:sz w:val="20"/>
              </w:rPr>
              <w:t>6</w:t>
            </w:r>
          </w:p>
        </w:tc>
        <w:tc>
          <w:tcPr>
            <w:tcW w:w="1451" w:type="dxa"/>
          </w:tcPr>
          <w:p>
            <w:pPr>
              <w:pStyle w:val="48"/>
              <w:rPr>
                <w:bCs/>
                <w:color w:val="0000FF"/>
                <w:sz w:val="20"/>
              </w:rPr>
            </w:pPr>
            <w:r>
              <w:rPr>
                <w:bCs/>
                <w:color w:val="0000FF"/>
                <w:sz w:val="20"/>
              </w:rPr>
              <w:t>16</w:t>
            </w:r>
          </w:p>
        </w:tc>
        <w:tc>
          <w:tcPr>
            <w:tcW w:w="1530" w:type="dxa"/>
          </w:tcPr>
          <w:p>
            <w:pPr>
              <w:pStyle w:val="48"/>
              <w:rPr>
                <w:bCs/>
                <w:color w:val="0000FF"/>
                <w:sz w:val="20"/>
              </w:rPr>
            </w:pPr>
            <w:r>
              <w:rPr>
                <w:bCs/>
                <w:color w:val="0000FF"/>
                <w:sz w:val="20"/>
              </w:rPr>
              <w:t>16</w:t>
            </w:r>
          </w:p>
        </w:tc>
        <w:tc>
          <w:tcPr>
            <w:tcW w:w="1440" w:type="dxa"/>
          </w:tcPr>
          <w:p>
            <w:pPr>
              <w:pStyle w:val="48"/>
              <w:rPr>
                <w:bCs/>
                <w:sz w:val="20"/>
              </w:rPr>
            </w:pPr>
            <w:r>
              <w:rPr>
                <w:bCs/>
                <w:sz w:val="20"/>
              </w:rPr>
              <w:t>32</w:t>
            </w:r>
          </w:p>
        </w:tc>
        <w:tc>
          <w:tcPr>
            <w:tcW w:w="1440" w:type="dxa"/>
          </w:tcPr>
          <w:p>
            <w:pPr>
              <w:pStyle w:val="48"/>
              <w:rPr>
                <w:bCs/>
                <w:sz w:val="20"/>
              </w:rPr>
            </w:pPr>
            <w:r>
              <w:rPr>
                <w:bCs/>
                <w:sz w:val="20"/>
              </w:rPr>
              <w:t>32</w:t>
            </w:r>
          </w:p>
        </w:tc>
      </w:tr>
    </w:tbl>
    <w:p>
      <w:pPr>
        <w:numPr>
          <w:ilvl w:val="1"/>
          <w:numId w:val="0"/>
        </w:numPr>
        <w:snapToGrid w:val="0"/>
        <w:spacing w:after="180" w:line="260" w:lineRule="auto"/>
        <w:ind w:left="0" w:firstLine="0"/>
        <w:jc w:val="both"/>
        <w:rPr>
          <w:rFonts w:hint="eastAsia" w:eastAsia="宋体"/>
          <w:b/>
          <w:bCs/>
          <w:lang w:val="en-US" w:eastAsia="zh-CN"/>
        </w:rPr>
      </w:pPr>
    </w:p>
    <w:p>
      <w:pPr>
        <w:numPr>
          <w:ilvl w:val="1"/>
          <w:numId w:val="0"/>
        </w:numPr>
        <w:snapToGrid w:val="0"/>
        <w:spacing w:after="180" w:line="260" w:lineRule="auto"/>
        <w:ind w:left="0" w:firstLine="0"/>
        <w:jc w:val="both"/>
        <w:rPr>
          <w:rFonts w:hint="eastAsia" w:eastAsia="宋体"/>
          <w:b/>
          <w:bCs/>
          <w:lang w:val="en-US" w:eastAsia="zh-CN"/>
        </w:rPr>
      </w:pPr>
      <w:r>
        <w:rPr>
          <w:rFonts w:hint="eastAsia" w:eastAsia="宋体"/>
          <w:b/>
          <w:bCs/>
          <w:lang w:val="en-US" w:eastAsia="zh-CN"/>
        </w:rPr>
        <w:t>Proposal 3: Confirm the working assumption: BD/CCE budget of 960 kHz for (4,2), (4,1) is half that of X=8.</w:t>
      </w:r>
    </w:p>
    <w:p>
      <w:pPr>
        <w:pStyle w:val="75"/>
        <w:rPr>
          <w:b/>
          <w:bCs w:val="0"/>
        </w:rPr>
      </w:pPr>
      <w:r>
        <w:rPr>
          <w:b/>
          <w:bCs w:val="0"/>
        </w:rPr>
        <w:t xml:space="preserve">Table 1: Maximum number </w:t>
      </w:r>
      <m:oMath>
        <m:sSubSup>
          <m:sSubSupPr>
            <m:ctrlPr>
              <w:rPr>
                <w:rFonts w:ascii="Cambria Math" w:hAnsi="Cambria Math"/>
                <w:b/>
                <w:bCs w:val="0"/>
                <w:i/>
                <w:sz w:val="20"/>
                <w:lang w:eastAsia="zh-CN"/>
              </w:rPr>
            </m:ctrlPr>
          </m:sSubSupPr>
          <m:e>
            <m:r>
              <w:rPr>
                <w:rFonts w:ascii="Cambria Math" w:hAnsi="Cambria Math"/>
                <w:lang w:eastAsia="zh-CN"/>
              </w:rPr>
              <m:t>M</m:t>
            </m:r>
            <m:ctrlPr>
              <w:rPr>
                <w:rFonts w:ascii="Cambria Math" w:hAnsi="Cambria Math"/>
                <w:b/>
                <w:bCs w:val="0"/>
                <w:i/>
                <w:sz w:val="20"/>
                <w:lang w:eastAsia="zh-CN"/>
              </w:rPr>
            </m:ctrlPr>
          </m:e>
          <m:sub>
            <m:r>
              <m:rPr>
                <m:sty m:val="b"/>
              </m:rPr>
              <w:rPr>
                <w:rFonts w:ascii="Cambria Math" w:hAnsi="Cambria Math"/>
                <w:lang w:eastAsia="zh-CN"/>
              </w:rPr>
              <m:t>PDCCH</m:t>
            </m:r>
            <m:ctrlPr>
              <w:rPr>
                <w:rFonts w:ascii="Cambria Math" w:hAnsi="Cambria Math"/>
                <w:b/>
                <w:bCs w:val="0"/>
                <w:i/>
                <w:sz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lang w:eastAsia="zh-CN"/>
              </w:rPr>
            </m:ctrlPr>
          </m:sup>
        </m:sSubSup>
      </m:oMath>
      <w:r>
        <w:rPr>
          <w:b/>
          <w:bCs w:val="0"/>
        </w:rPr>
        <w:t xml:space="preserve"> of monitored PDCCH candidates per </w:t>
      </w:r>
      <w:r>
        <w:rPr>
          <w:b/>
          <w:bCs w:val="0"/>
          <w:sz w:val="20"/>
          <w:szCs w:val="20"/>
        </w:rPr>
        <w:t xml:space="preserve">slot group for 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rPr>
        <w:t xml:space="preserve"> for a DL BWP with SCS configuration </w:t>
      </w:r>
      <m:oMath>
        <m:r>
          <w:rPr>
            <w:rFonts w:ascii="Cambria Math" w:hAnsi="Cambria Math"/>
            <w:lang w:eastAsia="zh-CN"/>
          </w:rPr>
          <m:t>μ∈</m:t>
        </m:r>
        <m:d>
          <m:dPr>
            <m:begChr m:val="{"/>
            <m:endChr m:val="}"/>
            <m:ctrlPr>
              <w:rPr>
                <w:rFonts w:ascii="Cambria Math" w:hAnsi="Cambria Math"/>
                <w:b/>
                <w:bCs w:val="0"/>
                <w:i/>
                <w:sz w:val="20"/>
                <w:szCs w:val="20"/>
                <w:lang w:eastAsia="zh-CN"/>
              </w:rPr>
            </m:ctrlPr>
          </m:dPr>
          <m:e>
            <m:r>
              <w:rPr>
                <w:rFonts w:ascii="Cambria Math" w:hAnsi="Cambria Math"/>
                <w:lang w:eastAsia="zh-CN"/>
              </w:rPr>
              <m:t>5, 6</m:t>
            </m:r>
            <m:ctrlPr>
              <w:rPr>
                <w:rFonts w:ascii="Cambria Math" w:hAnsi="Cambria Math"/>
                <w:b/>
                <w:bCs w:val="0"/>
                <w:i/>
                <w:sz w:val="20"/>
                <w:szCs w:val="20"/>
                <w:lang w:eastAsia="zh-CN"/>
              </w:rPr>
            </m:ctrlPr>
          </m:e>
        </m:d>
      </m:oMath>
      <w:r>
        <w:rPr>
          <w:b/>
          <w:bCs w:val="0"/>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4" w:type="dxa"/>
            <w:shd w:val="clear" w:color="auto" w:fill="E0E0E0"/>
            <w:vAlign w:val="center"/>
          </w:tcPr>
          <w:p>
            <w:pPr>
              <w:pStyle w:val="47"/>
              <w:rPr>
                <w:rFonts w:ascii="Times New Roman" w:hAnsi="Times New Roman"/>
                <w:b/>
                <w:bCs w:val="0"/>
                <w:sz w:val="20"/>
              </w:rPr>
            </w:pPr>
          </w:p>
        </w:tc>
        <w:tc>
          <w:tcPr>
            <w:tcW w:w="5861" w:type="dxa"/>
            <w:gridSpan w:val="4"/>
            <w:shd w:val="clear" w:color="auto" w:fill="E0E0E0"/>
            <w:vAlign w:val="center"/>
          </w:tcPr>
          <w:p>
            <w:pPr>
              <w:pStyle w:val="75"/>
              <w:spacing w:before="0" w:after="0"/>
              <w:rPr>
                <w:b/>
                <w:bCs w:val="0"/>
                <w:sz w:val="20"/>
                <w:szCs w:val="20"/>
              </w:rPr>
            </w:pPr>
            <w:r>
              <w:rPr>
                <w:b/>
                <w:bCs w:val="0"/>
                <w:sz w:val="20"/>
                <w:szCs w:val="20"/>
              </w:rPr>
              <w:t xml:space="preserve">Maximum number </w:t>
            </w:r>
            <m:oMath>
              <m:sSubSup>
                <m:sSubSupPr>
                  <m:ctrlPr>
                    <w:rPr>
                      <w:rFonts w:ascii="Cambria Math" w:hAnsi="Cambria Math"/>
                      <w:b/>
                      <w:bCs w:val="0"/>
                      <w:i/>
                      <w:sz w:val="20"/>
                      <w:szCs w:val="20"/>
                      <w:lang w:eastAsia="zh-CN"/>
                    </w:rPr>
                  </m:ctrlPr>
                </m:sSubSupPr>
                <m:e>
                  <m:r>
                    <w:rPr>
                      <w:rFonts w:ascii="Cambria Math" w:hAnsi="Cambria Math"/>
                      <w:sz w:val="20"/>
                      <w:szCs w:val="20"/>
                      <w:lang w:eastAsia="zh-CN"/>
                    </w:rPr>
                    <m:t>M</m:t>
                  </m:r>
                  <m:ctrlPr>
                    <w:rPr>
                      <w:rFonts w:ascii="Cambria Math" w:hAnsi="Cambria Math"/>
                      <w:b/>
                      <w:bCs w:val="0"/>
                      <w:i/>
                      <w:sz w:val="20"/>
                      <w:szCs w:val="20"/>
                      <w:lang w:eastAsia="zh-CN"/>
                    </w:rPr>
                  </m:ctrlPr>
                </m:e>
                <m:sub>
                  <m:r>
                    <m:rPr>
                      <m:sty m:val="b"/>
                    </m:rPr>
                    <w:rPr>
                      <w:rFonts w:ascii="Cambria Math" w:hAnsi="Cambria Math"/>
                      <w:sz w:val="20"/>
                      <w:szCs w:val="20"/>
                      <w:lang w:eastAsia="zh-CN"/>
                    </w:rPr>
                    <m:t>PDCCH</m:t>
                  </m:r>
                  <m:ctrlPr>
                    <w:rPr>
                      <w:rFonts w:ascii="Cambria Math" w:hAnsi="Cambria Math"/>
                      <w:b/>
                      <w:bCs w:val="0"/>
                      <w:i/>
                      <w:sz w:val="20"/>
                      <w:szCs w:val="20"/>
                      <w:lang w:eastAsia="zh-CN"/>
                    </w:rPr>
                  </m:ctrlPr>
                </m:sub>
                <m:sup>
                  <m:r>
                    <w:rPr>
                      <w:rFonts w:ascii="Cambria Math" w:hAnsi="Cambria Math"/>
                      <w:sz w:val="20"/>
                      <w:szCs w:val="20"/>
                      <w:lang w:eastAsia="zh-CN"/>
                    </w:rPr>
                    <m:t>max,</m:t>
                  </m:r>
                  <m:d>
                    <m:dPr>
                      <m:ctrlPr>
                        <w:rPr>
                          <w:rFonts w:ascii="Cambria Math" w:hAnsi="Cambria Math"/>
                          <w:b/>
                          <w:bCs w:val="0"/>
                          <w:i/>
                          <w:sz w:val="20"/>
                          <w:szCs w:val="20"/>
                          <w:lang w:eastAsia="zh-CN"/>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sz w:val="20"/>
                          <w:szCs w:val="20"/>
                          <w:lang w:eastAsia="zh-CN"/>
                        </w:rPr>
                      </m:ctrlPr>
                    </m:e>
                  </m:d>
                  <m:r>
                    <w:rPr>
                      <w:rFonts w:ascii="Cambria Math" w:hAnsi="Cambria Math"/>
                      <w:sz w:val="20"/>
                      <w:szCs w:val="20"/>
                      <w:lang w:eastAsia="zh-CN"/>
                    </w:rPr>
                    <m:t>,μ</m:t>
                  </m:r>
                  <m:ctrlPr>
                    <w:rPr>
                      <w:rFonts w:ascii="Cambria Math" w:hAnsi="Cambria Math"/>
                      <w:b/>
                      <w:bCs w:val="0"/>
                      <w:i/>
                      <w:sz w:val="20"/>
                      <w:szCs w:val="20"/>
                      <w:lang w:eastAsia="zh-CN"/>
                    </w:rPr>
                  </m:ctrlPr>
                </m:sup>
              </m:sSubSup>
            </m:oMath>
            <w:r>
              <w:rPr>
                <w:b/>
                <w:bCs w:val="0"/>
                <w:sz w:val="20"/>
                <w:szCs w:val="20"/>
                <w:lang w:eastAsia="zh-CN"/>
              </w:rPr>
              <w:t xml:space="preserve"> </w:t>
            </w:r>
            <w:r>
              <w:rPr>
                <w:b/>
                <w:bCs w:val="0"/>
                <w:sz w:val="20"/>
                <w:szCs w:val="20"/>
              </w:rPr>
              <w:t xml:space="preserve">of monitored PDCCH candidates per </w:t>
            </w:r>
            <w:r>
              <w:rPr>
                <w:b/>
                <w:bCs w:val="0"/>
              </w:rPr>
              <w:t xml:space="preserve">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sz w:val="20"/>
                <w:szCs w:val="20"/>
              </w:rPr>
              <w:t xml:space="preserve"> and per serving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
                <w:bCs w:val="0"/>
                <w:sz w:val="20"/>
              </w:rPr>
            </w:pPr>
            <m:oMathPara>
              <m:oMath>
                <m:r>
                  <m:rPr>
                    <m:sty m:val="bi"/>
                  </m:rPr>
                  <w:rPr>
                    <w:rFonts w:ascii="Cambria Math" w:hAnsi="Cambria Math"/>
                    <w:sz w:val="20"/>
                    <w:lang w:eastAsia="zh-CN"/>
                  </w:rPr>
                  <m:t>μ</m:t>
                </m:r>
              </m:oMath>
            </m:oMathPara>
          </w:p>
        </w:tc>
        <w:tc>
          <w:tcPr>
            <w:tcW w:w="1451" w:type="dxa"/>
            <w:vAlign w:val="center"/>
          </w:tcPr>
          <w:p>
            <w:pPr>
              <w:pStyle w:val="48"/>
              <w:rPr>
                <w:b/>
                <w:bCs w:val="0"/>
                <w:sz w:val="20"/>
              </w:rPr>
            </w:pPr>
            <w:r>
              <w:rPr>
                <w:b/>
                <w:bCs w:val="0"/>
                <w:sz w:val="20"/>
              </w:rPr>
              <w:t>(4, 1)</w:t>
            </w:r>
          </w:p>
        </w:tc>
        <w:tc>
          <w:tcPr>
            <w:tcW w:w="1530" w:type="dxa"/>
          </w:tcPr>
          <w:p>
            <w:pPr>
              <w:pStyle w:val="48"/>
              <w:rPr>
                <w:b/>
                <w:bCs w:val="0"/>
                <w:sz w:val="20"/>
              </w:rPr>
            </w:pPr>
            <w:r>
              <w:rPr>
                <w:b/>
                <w:bCs w:val="0"/>
                <w:sz w:val="20"/>
              </w:rPr>
              <w:t>(4, 2)</w:t>
            </w:r>
          </w:p>
        </w:tc>
        <w:tc>
          <w:tcPr>
            <w:tcW w:w="1440" w:type="dxa"/>
          </w:tcPr>
          <w:p>
            <w:pPr>
              <w:pStyle w:val="48"/>
              <w:rPr>
                <w:b/>
                <w:bCs w:val="0"/>
                <w:sz w:val="20"/>
              </w:rPr>
            </w:pPr>
            <w:r>
              <w:rPr>
                <w:b/>
                <w:bCs w:val="0"/>
                <w:sz w:val="20"/>
              </w:rPr>
              <w:t>(8, 1)</w:t>
            </w:r>
          </w:p>
        </w:tc>
        <w:tc>
          <w:tcPr>
            <w:tcW w:w="1440" w:type="dxa"/>
          </w:tcPr>
          <w:p>
            <w:pPr>
              <w:pStyle w:val="48"/>
              <w:rPr>
                <w:b/>
                <w:bCs w:val="0"/>
                <w:sz w:val="20"/>
              </w:rPr>
            </w:pPr>
            <w:r>
              <w:rPr>
                <w:b/>
                <w:bCs w:val="0"/>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5</w:t>
            </w:r>
          </w:p>
        </w:tc>
        <w:tc>
          <w:tcPr>
            <w:tcW w:w="1451" w:type="dxa"/>
            <w:vAlign w:val="center"/>
          </w:tcPr>
          <w:p>
            <w:pPr>
              <w:pStyle w:val="48"/>
              <w:rPr>
                <w:b/>
                <w:bCs w:val="0"/>
                <w:sz w:val="20"/>
              </w:rPr>
            </w:pPr>
            <w:r>
              <w:rPr>
                <w:b/>
                <w:bCs w:val="0"/>
                <w:sz w:val="20"/>
              </w:rPr>
              <w:t>20</w:t>
            </w:r>
          </w:p>
        </w:tc>
        <w:tc>
          <w:tcPr>
            <w:tcW w:w="1530" w:type="dxa"/>
          </w:tcPr>
          <w:p>
            <w:pPr>
              <w:pStyle w:val="48"/>
              <w:rPr>
                <w:b/>
                <w:bCs w:val="0"/>
                <w:sz w:val="20"/>
              </w:rPr>
            </w:pPr>
            <w:r>
              <w:rPr>
                <w:b/>
                <w:bCs w:val="0"/>
                <w:sz w:val="20"/>
              </w:rPr>
              <w:t>20</w:t>
            </w:r>
          </w:p>
        </w:tc>
        <w:tc>
          <w:tcPr>
            <w:tcW w:w="1440" w:type="dxa"/>
          </w:tcPr>
          <w:p>
            <w:pPr>
              <w:pStyle w:val="48"/>
              <w:rPr>
                <w:b/>
                <w:bCs w:val="0"/>
                <w:sz w:val="20"/>
              </w:rPr>
            </w:pPr>
            <w:r>
              <w:rPr>
                <w:b/>
                <w:bCs w:val="0"/>
                <w:sz w:val="20"/>
              </w:rPr>
              <w:t>-</w:t>
            </w:r>
          </w:p>
        </w:tc>
        <w:tc>
          <w:tcPr>
            <w:tcW w:w="1440" w:type="dxa"/>
          </w:tcPr>
          <w:p>
            <w:pPr>
              <w:pStyle w:val="48"/>
              <w:rPr>
                <w:b/>
                <w:bCs w:val="0"/>
                <w:sz w:val="20"/>
              </w:rPr>
            </w:pPr>
            <w:r>
              <w:rPr>
                <w:b/>
                <w:bCs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6</w:t>
            </w:r>
          </w:p>
        </w:tc>
        <w:tc>
          <w:tcPr>
            <w:tcW w:w="1451" w:type="dxa"/>
            <w:vAlign w:val="center"/>
          </w:tcPr>
          <w:p>
            <w:pPr>
              <w:pStyle w:val="48"/>
              <w:rPr>
                <w:b/>
                <w:bCs w:val="0"/>
                <w:color w:val="auto"/>
                <w:sz w:val="20"/>
              </w:rPr>
            </w:pPr>
            <w:r>
              <w:rPr>
                <w:b/>
                <w:bCs w:val="0"/>
                <w:color w:val="auto"/>
                <w:sz w:val="20"/>
              </w:rPr>
              <w:t>10</w:t>
            </w:r>
          </w:p>
        </w:tc>
        <w:tc>
          <w:tcPr>
            <w:tcW w:w="1530" w:type="dxa"/>
          </w:tcPr>
          <w:p>
            <w:pPr>
              <w:pStyle w:val="48"/>
              <w:rPr>
                <w:b/>
                <w:bCs w:val="0"/>
                <w:color w:val="auto"/>
                <w:sz w:val="20"/>
              </w:rPr>
            </w:pPr>
            <w:r>
              <w:rPr>
                <w:b/>
                <w:bCs w:val="0"/>
                <w:color w:val="auto"/>
                <w:sz w:val="20"/>
              </w:rPr>
              <w:t>10</w:t>
            </w:r>
          </w:p>
        </w:tc>
        <w:tc>
          <w:tcPr>
            <w:tcW w:w="1440" w:type="dxa"/>
          </w:tcPr>
          <w:p>
            <w:pPr>
              <w:pStyle w:val="48"/>
              <w:rPr>
                <w:b/>
                <w:bCs w:val="0"/>
                <w:sz w:val="20"/>
              </w:rPr>
            </w:pPr>
            <w:r>
              <w:rPr>
                <w:b/>
                <w:bCs w:val="0"/>
                <w:sz w:val="20"/>
              </w:rPr>
              <w:t>20</w:t>
            </w:r>
          </w:p>
        </w:tc>
        <w:tc>
          <w:tcPr>
            <w:tcW w:w="1440" w:type="dxa"/>
          </w:tcPr>
          <w:p>
            <w:pPr>
              <w:pStyle w:val="48"/>
              <w:rPr>
                <w:b/>
                <w:bCs w:val="0"/>
                <w:sz w:val="20"/>
              </w:rPr>
            </w:pPr>
            <w:r>
              <w:rPr>
                <w:b/>
                <w:bCs w:val="0"/>
                <w:sz w:val="20"/>
              </w:rPr>
              <w:t>20</w:t>
            </w:r>
          </w:p>
        </w:tc>
      </w:tr>
    </w:tbl>
    <w:p>
      <w:pPr>
        <w:numPr>
          <w:ilvl w:val="1"/>
          <w:numId w:val="0"/>
        </w:numPr>
        <w:snapToGrid w:val="0"/>
        <w:spacing w:after="240" w:line="260" w:lineRule="auto"/>
        <w:ind w:left="0" w:firstLine="0"/>
        <w:jc w:val="both"/>
        <w:rPr>
          <w:rFonts w:hint="eastAsia" w:eastAsia="宋体"/>
          <w:b/>
          <w:bCs w:val="0"/>
          <w:lang w:val="en-US" w:eastAsia="zh-CN"/>
        </w:rPr>
      </w:pPr>
    </w:p>
    <w:p>
      <w:pPr>
        <w:pStyle w:val="75"/>
        <w:rPr>
          <w:b/>
          <w:bCs w:val="0"/>
        </w:rPr>
      </w:pPr>
      <w:r>
        <w:rPr>
          <w:b/>
          <w:bCs w:val="0"/>
        </w:rPr>
        <w:t xml:space="preserve">Table </w:t>
      </w:r>
      <w:r>
        <w:rPr>
          <w:rFonts w:hint="eastAsia"/>
          <w:b/>
          <w:bCs w:val="0"/>
          <w:lang w:val="en-US" w:eastAsia="zh-CN"/>
        </w:rPr>
        <w:t>2</w:t>
      </w:r>
      <w:r>
        <w:rPr>
          <w:b/>
          <w:bCs w:val="0"/>
        </w:rPr>
        <w:t xml:space="preserve">: Maximum number </w:t>
      </w:r>
      <m:oMath>
        <m:sSubSup>
          <m:sSubSupPr>
            <m:ctrlPr>
              <w:rPr>
                <w:rFonts w:ascii="Cambria Math" w:hAnsi="Cambria Math"/>
                <w:b/>
                <w:bCs w:val="0"/>
                <w:i/>
                <w:sz w:val="20"/>
                <w:lang w:eastAsia="zh-CN"/>
              </w:rPr>
            </m:ctrlPr>
          </m:sSubSupPr>
          <m:e>
            <m:r>
              <w:rPr>
                <w:rFonts w:ascii="Cambria Math" w:hAnsi="Cambria Math"/>
                <w:lang w:eastAsia="zh-CN"/>
              </w:rPr>
              <m:t>C</m:t>
            </m:r>
            <m:ctrlPr>
              <w:rPr>
                <w:rFonts w:ascii="Cambria Math" w:hAnsi="Cambria Math"/>
                <w:b/>
                <w:bCs w:val="0"/>
                <w:i/>
                <w:sz w:val="20"/>
                <w:lang w:eastAsia="zh-CN"/>
              </w:rPr>
            </m:ctrlPr>
          </m:e>
          <m:sub>
            <m:r>
              <m:rPr>
                <m:sty m:val="b"/>
              </m:rPr>
              <w:rPr>
                <w:rFonts w:ascii="Cambria Math" w:hAnsi="Cambria Math"/>
                <w:lang w:eastAsia="zh-CN"/>
              </w:rPr>
              <m:t>PDCCH</m:t>
            </m:r>
            <m:ctrlPr>
              <w:rPr>
                <w:rFonts w:ascii="Cambria Math" w:hAnsi="Cambria Math"/>
                <w:b/>
                <w:bCs w:val="0"/>
                <w:i/>
                <w:sz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lang w:eastAsia="zh-CN"/>
              </w:rPr>
            </m:ctrlPr>
          </m:sup>
        </m:sSubSup>
      </m:oMath>
      <w:r>
        <w:rPr>
          <w:b/>
          <w:bCs w:val="0"/>
        </w:rPr>
        <w:t xml:space="preserve"> of non-overlapped CCEs in a slot group for 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rPr>
        <w:t xml:space="preserve"> for a DL BWP with SCS configuration </w:t>
      </w:r>
      <m:oMath>
        <m:r>
          <w:rPr>
            <w:rFonts w:ascii="Cambria Math" w:hAnsi="Cambria Math"/>
            <w:lang w:eastAsia="zh-CN"/>
          </w:rPr>
          <m:t>μ∈</m:t>
        </m:r>
        <m:d>
          <m:dPr>
            <m:begChr m:val="{"/>
            <m:endChr m:val="}"/>
            <m:ctrlPr>
              <w:rPr>
                <w:rFonts w:ascii="Cambria Math" w:hAnsi="Cambria Math"/>
                <w:b/>
                <w:bCs w:val="0"/>
                <w:i/>
                <w:sz w:val="20"/>
                <w:szCs w:val="20"/>
                <w:lang w:eastAsia="zh-CN"/>
              </w:rPr>
            </m:ctrlPr>
          </m:dPr>
          <m:e>
            <m:r>
              <w:rPr>
                <w:rFonts w:ascii="Cambria Math" w:hAnsi="Cambria Math"/>
                <w:lang w:eastAsia="zh-CN"/>
              </w:rPr>
              <m:t>5, 6</m:t>
            </m:r>
            <m:ctrlPr>
              <w:rPr>
                <w:rFonts w:ascii="Cambria Math" w:hAnsi="Cambria Math"/>
                <w:b/>
                <w:bCs w:val="0"/>
                <w:i/>
                <w:sz w:val="20"/>
                <w:szCs w:val="20"/>
                <w:lang w:eastAsia="zh-CN"/>
              </w:rPr>
            </m:ctrlPr>
          </m:e>
        </m:d>
      </m:oMath>
      <w:r>
        <w:rPr>
          <w:b/>
          <w:bCs w:val="0"/>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7"/>
              <w:rPr>
                <w:rFonts w:ascii="Times New Roman" w:hAnsi="Times New Roman"/>
                <w:b/>
                <w:bCs w:val="0"/>
                <w:sz w:val="20"/>
              </w:rPr>
            </w:pPr>
          </w:p>
        </w:tc>
        <w:tc>
          <w:tcPr>
            <w:tcW w:w="5861" w:type="dxa"/>
            <w:gridSpan w:val="4"/>
            <w:shd w:val="clear" w:color="auto" w:fill="E0E0E0"/>
            <w:vAlign w:val="center"/>
          </w:tcPr>
          <w:p>
            <w:pPr>
              <w:pStyle w:val="75"/>
              <w:spacing w:before="0" w:after="0"/>
              <w:rPr>
                <w:b/>
                <w:bCs w:val="0"/>
                <w:sz w:val="20"/>
                <w:szCs w:val="20"/>
              </w:rPr>
            </w:pPr>
            <w:r>
              <w:rPr>
                <w:b/>
                <w:bCs w:val="0"/>
                <w:sz w:val="20"/>
                <w:szCs w:val="20"/>
              </w:rPr>
              <w:t xml:space="preserve">Maximum number of non-overlapped CCEs per </w:t>
            </w:r>
            <w:r>
              <w:rPr>
                <w:b/>
                <w:bCs w:val="0"/>
              </w:rPr>
              <w:t xml:space="preserve">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sz w:val="20"/>
                <w:szCs w:val="20"/>
              </w:rPr>
              <w:t xml:space="preserve"> and per serving cell </w:t>
            </w:r>
            <m:oMath>
              <m:sSubSup>
                <m:sSubSupPr>
                  <m:ctrlPr>
                    <w:rPr>
                      <w:rFonts w:ascii="Cambria Math" w:hAnsi="Cambria Math"/>
                      <w:b/>
                      <w:bCs w:val="0"/>
                      <w:i/>
                      <w:sz w:val="20"/>
                      <w:szCs w:val="20"/>
                      <w:lang w:eastAsia="zh-CN"/>
                    </w:rPr>
                  </m:ctrlPr>
                </m:sSubSupPr>
                <m:e>
                  <m:r>
                    <w:rPr>
                      <w:rFonts w:ascii="Cambria Math" w:hAnsi="Cambria Math"/>
                      <w:sz w:val="20"/>
                      <w:szCs w:val="20"/>
                      <w:lang w:eastAsia="zh-CN"/>
                    </w:rPr>
                    <m:t>C</m:t>
                  </m:r>
                  <m:ctrlPr>
                    <w:rPr>
                      <w:rFonts w:ascii="Cambria Math" w:hAnsi="Cambria Math"/>
                      <w:b/>
                      <w:bCs w:val="0"/>
                      <w:i/>
                      <w:sz w:val="20"/>
                      <w:szCs w:val="20"/>
                      <w:lang w:eastAsia="zh-CN"/>
                    </w:rPr>
                  </m:ctrlPr>
                </m:e>
                <m:sub>
                  <m:r>
                    <m:rPr>
                      <m:sty m:val="b"/>
                    </m:rPr>
                    <w:rPr>
                      <w:rFonts w:ascii="Cambria Math" w:hAnsi="Cambria Math"/>
                      <w:sz w:val="20"/>
                      <w:szCs w:val="20"/>
                      <w:lang w:eastAsia="zh-CN"/>
                    </w:rPr>
                    <m:t>PDCCH</m:t>
                  </m:r>
                  <m:ctrlPr>
                    <w:rPr>
                      <w:rFonts w:ascii="Cambria Math" w:hAnsi="Cambria Math"/>
                      <w:b/>
                      <w:bCs w:val="0"/>
                      <w:i/>
                      <w:sz w:val="20"/>
                      <w:szCs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szCs w:val="20"/>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
                <w:bCs w:val="0"/>
                <w:sz w:val="20"/>
              </w:rPr>
            </w:pPr>
            <m:oMathPara>
              <m:oMath>
                <m:r>
                  <m:rPr>
                    <m:sty m:val="bi"/>
                  </m:rPr>
                  <w:rPr>
                    <w:rFonts w:ascii="Cambria Math" w:hAnsi="Cambria Math"/>
                    <w:sz w:val="20"/>
                    <w:lang w:eastAsia="zh-CN"/>
                  </w:rPr>
                  <m:t>μ</m:t>
                </m:r>
              </m:oMath>
            </m:oMathPara>
          </w:p>
        </w:tc>
        <w:tc>
          <w:tcPr>
            <w:tcW w:w="1451" w:type="dxa"/>
            <w:vAlign w:val="center"/>
          </w:tcPr>
          <w:p>
            <w:pPr>
              <w:pStyle w:val="48"/>
              <w:rPr>
                <w:b/>
                <w:bCs w:val="0"/>
                <w:sz w:val="20"/>
              </w:rPr>
            </w:pPr>
            <w:r>
              <w:rPr>
                <w:b/>
                <w:bCs w:val="0"/>
                <w:sz w:val="20"/>
              </w:rPr>
              <w:t>(4, 1)</w:t>
            </w:r>
          </w:p>
        </w:tc>
        <w:tc>
          <w:tcPr>
            <w:tcW w:w="1530" w:type="dxa"/>
          </w:tcPr>
          <w:p>
            <w:pPr>
              <w:pStyle w:val="48"/>
              <w:rPr>
                <w:b/>
                <w:bCs w:val="0"/>
                <w:sz w:val="20"/>
              </w:rPr>
            </w:pPr>
            <w:r>
              <w:rPr>
                <w:b/>
                <w:bCs w:val="0"/>
                <w:sz w:val="20"/>
              </w:rPr>
              <w:t>(4, 2)</w:t>
            </w:r>
          </w:p>
        </w:tc>
        <w:tc>
          <w:tcPr>
            <w:tcW w:w="1440" w:type="dxa"/>
          </w:tcPr>
          <w:p>
            <w:pPr>
              <w:pStyle w:val="48"/>
              <w:rPr>
                <w:b/>
                <w:bCs w:val="0"/>
                <w:sz w:val="20"/>
              </w:rPr>
            </w:pPr>
            <w:r>
              <w:rPr>
                <w:b/>
                <w:bCs w:val="0"/>
                <w:sz w:val="20"/>
              </w:rPr>
              <w:t>(8, 1)</w:t>
            </w:r>
          </w:p>
        </w:tc>
        <w:tc>
          <w:tcPr>
            <w:tcW w:w="1440" w:type="dxa"/>
          </w:tcPr>
          <w:p>
            <w:pPr>
              <w:pStyle w:val="48"/>
              <w:rPr>
                <w:b/>
                <w:bCs w:val="0"/>
                <w:sz w:val="20"/>
              </w:rPr>
            </w:pPr>
            <w:r>
              <w:rPr>
                <w:b/>
                <w:bCs w:val="0"/>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5</w:t>
            </w:r>
          </w:p>
        </w:tc>
        <w:tc>
          <w:tcPr>
            <w:tcW w:w="1451" w:type="dxa"/>
          </w:tcPr>
          <w:p>
            <w:pPr>
              <w:pStyle w:val="48"/>
              <w:rPr>
                <w:b/>
                <w:bCs w:val="0"/>
                <w:sz w:val="20"/>
              </w:rPr>
            </w:pPr>
            <w:r>
              <w:rPr>
                <w:b/>
                <w:bCs w:val="0"/>
                <w:sz w:val="20"/>
              </w:rPr>
              <w:t>32</w:t>
            </w:r>
          </w:p>
        </w:tc>
        <w:tc>
          <w:tcPr>
            <w:tcW w:w="1530" w:type="dxa"/>
          </w:tcPr>
          <w:p>
            <w:pPr>
              <w:pStyle w:val="48"/>
              <w:rPr>
                <w:b/>
                <w:bCs w:val="0"/>
                <w:sz w:val="20"/>
              </w:rPr>
            </w:pPr>
            <w:r>
              <w:rPr>
                <w:b/>
                <w:bCs w:val="0"/>
                <w:sz w:val="20"/>
              </w:rPr>
              <w:t>32</w:t>
            </w:r>
          </w:p>
        </w:tc>
        <w:tc>
          <w:tcPr>
            <w:tcW w:w="1440" w:type="dxa"/>
          </w:tcPr>
          <w:p>
            <w:pPr>
              <w:pStyle w:val="48"/>
              <w:rPr>
                <w:b/>
                <w:bCs w:val="0"/>
                <w:sz w:val="20"/>
              </w:rPr>
            </w:pPr>
            <w:r>
              <w:rPr>
                <w:b/>
                <w:bCs w:val="0"/>
                <w:sz w:val="20"/>
              </w:rPr>
              <w:t>-</w:t>
            </w:r>
          </w:p>
        </w:tc>
        <w:tc>
          <w:tcPr>
            <w:tcW w:w="1440" w:type="dxa"/>
          </w:tcPr>
          <w:p>
            <w:pPr>
              <w:pStyle w:val="48"/>
              <w:rPr>
                <w:b/>
                <w:bCs w:val="0"/>
                <w:sz w:val="20"/>
              </w:rPr>
            </w:pPr>
            <w:r>
              <w:rPr>
                <w:b/>
                <w:bCs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6</w:t>
            </w:r>
          </w:p>
        </w:tc>
        <w:tc>
          <w:tcPr>
            <w:tcW w:w="1451" w:type="dxa"/>
          </w:tcPr>
          <w:p>
            <w:pPr>
              <w:pStyle w:val="48"/>
              <w:rPr>
                <w:b/>
                <w:bCs w:val="0"/>
                <w:color w:val="auto"/>
                <w:sz w:val="20"/>
              </w:rPr>
            </w:pPr>
            <w:r>
              <w:rPr>
                <w:b/>
                <w:bCs w:val="0"/>
                <w:color w:val="auto"/>
                <w:sz w:val="20"/>
              </w:rPr>
              <w:t>16</w:t>
            </w:r>
          </w:p>
        </w:tc>
        <w:tc>
          <w:tcPr>
            <w:tcW w:w="1530" w:type="dxa"/>
          </w:tcPr>
          <w:p>
            <w:pPr>
              <w:pStyle w:val="48"/>
              <w:rPr>
                <w:b/>
                <w:bCs w:val="0"/>
                <w:color w:val="auto"/>
                <w:sz w:val="20"/>
              </w:rPr>
            </w:pPr>
            <w:r>
              <w:rPr>
                <w:b/>
                <w:bCs w:val="0"/>
                <w:color w:val="auto"/>
                <w:sz w:val="20"/>
              </w:rPr>
              <w:t>16</w:t>
            </w:r>
          </w:p>
        </w:tc>
        <w:tc>
          <w:tcPr>
            <w:tcW w:w="1440" w:type="dxa"/>
          </w:tcPr>
          <w:p>
            <w:pPr>
              <w:pStyle w:val="48"/>
              <w:rPr>
                <w:b/>
                <w:bCs w:val="0"/>
                <w:sz w:val="20"/>
              </w:rPr>
            </w:pPr>
            <w:r>
              <w:rPr>
                <w:b/>
                <w:bCs w:val="0"/>
                <w:sz w:val="20"/>
              </w:rPr>
              <w:t>32</w:t>
            </w:r>
          </w:p>
        </w:tc>
        <w:tc>
          <w:tcPr>
            <w:tcW w:w="1440" w:type="dxa"/>
          </w:tcPr>
          <w:p>
            <w:pPr>
              <w:pStyle w:val="48"/>
              <w:rPr>
                <w:b/>
                <w:bCs w:val="0"/>
                <w:sz w:val="20"/>
              </w:rPr>
            </w:pPr>
            <w:r>
              <w:rPr>
                <w:b/>
                <w:bCs w:val="0"/>
                <w:sz w:val="20"/>
              </w:rPr>
              <w:t>32</w:t>
            </w:r>
          </w:p>
        </w:tc>
      </w:tr>
    </w:tbl>
    <w:p>
      <w:pPr>
        <w:numPr>
          <w:ilvl w:val="1"/>
          <w:numId w:val="0"/>
        </w:numPr>
        <w:snapToGrid w:val="0"/>
        <w:spacing w:after="180" w:line="260" w:lineRule="auto"/>
        <w:ind w:left="0" w:firstLine="0"/>
        <w:jc w:val="both"/>
        <w:rPr>
          <w:rFonts w:hint="default" w:eastAsia="宋体"/>
          <w:b/>
          <w:bCs/>
          <w:lang w:val="en-US" w:eastAsia="zh-CN"/>
        </w:rPr>
      </w:pPr>
    </w:p>
    <w:p>
      <w:pPr>
        <w:pStyle w:val="3"/>
        <w:numPr>
          <w:ilvl w:val="1"/>
          <w:numId w:val="0"/>
        </w:numPr>
        <w:snapToGrid w:val="0"/>
        <w:spacing w:after="240" w:line="260" w:lineRule="auto"/>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3</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Search space set configuration</w:t>
      </w:r>
    </w:p>
    <w:p>
      <w:pPr>
        <w:numPr>
          <w:ilvl w:val="0"/>
          <w:numId w:val="0"/>
        </w:numPr>
        <w:autoSpaceDE w:val="0"/>
        <w:autoSpaceDN w:val="0"/>
        <w:adjustRightInd w:val="0"/>
        <w:snapToGrid w:val="0"/>
        <w:spacing w:before="180" w:after="180" w:line="260" w:lineRule="auto"/>
        <w:jc w:val="both"/>
        <w:rPr>
          <w:rFonts w:hint="default" w:cs="Times New Roman"/>
          <w:kern w:val="0"/>
          <w:sz w:val="20"/>
          <w:szCs w:val="20"/>
          <w:lang w:val="en-US" w:eastAsia="zh-CN"/>
        </w:rPr>
      </w:pPr>
      <w:r>
        <w:rPr>
          <w:rFonts w:hint="eastAsia" w:cs="Times New Roman"/>
          <w:kern w:val="0"/>
          <w:sz w:val="20"/>
          <w:szCs w:val="20"/>
          <w:lang w:val="en-US" w:eastAsia="zh-CN"/>
        </w:rPr>
        <w:t xml:space="preserve">In RAN1#104bis e-meeting, the following conclusion/agreement were made. For 120kHz SCS in FR2-2, only per-slot PDCCH monitoring capability is supported. Therefore, the search space configuration including </w:t>
      </w:r>
      <w:r>
        <w:rPr>
          <w:rFonts w:hint="eastAsia" w:eastAsia="宋体"/>
          <w:bCs/>
          <w:i/>
          <w:iCs/>
          <w:lang w:val="en-US" w:eastAsia="zh-CN"/>
        </w:rPr>
        <w:t xml:space="preserve">monitoringSlotPeriodicityAndOffset </w:t>
      </w:r>
      <w:r>
        <w:rPr>
          <w:rFonts w:hint="eastAsia" w:cs="Times New Roman"/>
          <w:kern w:val="0"/>
          <w:sz w:val="20"/>
          <w:szCs w:val="20"/>
          <w:lang w:val="en-US" w:eastAsia="zh-CN"/>
        </w:rPr>
        <w:t xml:space="preserve">, </w:t>
      </w:r>
      <w:r>
        <w:rPr>
          <w:rFonts w:hint="eastAsia" w:eastAsia="宋体"/>
          <w:bCs/>
          <w:i/>
          <w:iCs/>
          <w:lang w:val="en-US" w:eastAsia="zh-CN"/>
        </w:rPr>
        <w:t>duration</w:t>
      </w:r>
      <w:r>
        <w:rPr>
          <w:rFonts w:hint="eastAsia" w:cs="Times New Roman"/>
          <w:kern w:val="0"/>
          <w:sz w:val="20"/>
          <w:szCs w:val="20"/>
          <w:lang w:val="en-US" w:eastAsia="zh-CN"/>
        </w:rPr>
        <w:t xml:space="preserve"> and </w:t>
      </w:r>
      <w:r>
        <w:rPr>
          <w:i/>
          <w:iCs/>
        </w:rPr>
        <w:t>monitoringSymbolsWithinSlot</w:t>
      </w:r>
      <w:r>
        <w:rPr>
          <w:rFonts w:hint="eastAsia" w:eastAsia="宋体"/>
          <w:i/>
          <w:iCs/>
          <w:lang w:val="en-US" w:eastAsia="zh-CN"/>
        </w:rPr>
        <w:t xml:space="preserve"> </w:t>
      </w:r>
      <w:r>
        <w:rPr>
          <w:rFonts w:hint="eastAsia" w:eastAsia="宋体"/>
          <w:bCs/>
          <w:i w:val="0"/>
          <w:iCs w:val="0"/>
          <w:lang w:val="en-US" w:eastAsia="zh-CN"/>
        </w:rPr>
        <w:t>as shown in the following table</w:t>
      </w:r>
      <w:r>
        <w:rPr>
          <w:rFonts w:hint="eastAsia" w:eastAsia="宋体"/>
          <w:i/>
          <w:iCs/>
          <w:lang w:val="en-US" w:eastAsia="zh-CN"/>
        </w:rPr>
        <w:t xml:space="preserve"> </w:t>
      </w:r>
      <w:r>
        <w:rPr>
          <w:rFonts w:hint="eastAsia" w:cs="Times New Roman"/>
          <w:kern w:val="0"/>
          <w:sz w:val="20"/>
          <w:szCs w:val="20"/>
          <w:lang w:val="en-US" w:eastAsia="zh-CN"/>
        </w:rPr>
        <w:t>can be the same as that for 120kHz in FR2-1.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36"/>
              <w:spacing w:after="0" w:line="240" w:lineRule="auto"/>
            </w:pPr>
            <w:r>
              <w:t>SearchSpace ::=                         SEQUENCE {</w:t>
            </w:r>
          </w:p>
          <w:p>
            <w:pPr>
              <w:pStyle w:val="36"/>
              <w:spacing w:after="0" w:line="240" w:lineRule="auto"/>
            </w:pPr>
            <w:r>
              <w:t xml:space="preserve">    searchSpaceId                           SearchSpaceId,</w:t>
            </w:r>
          </w:p>
          <w:p>
            <w:pPr>
              <w:pStyle w:val="36"/>
              <w:spacing w:after="0" w:line="240" w:lineRule="auto"/>
            </w:pPr>
            <w:r>
              <w:t xml:space="preserve">    controlResourceSetId                    ControlResourceSetId                                        OPTIONAL,   -- Cond SetupOnly</w:t>
            </w:r>
          </w:p>
          <w:p>
            <w:pPr>
              <w:pStyle w:val="36"/>
              <w:spacing w:after="0" w:line="240" w:lineRule="auto"/>
            </w:pPr>
            <w:r>
              <w:t xml:space="preserve">    monitoringSlotPeriodicityAndOffset      CHOICE {</w:t>
            </w:r>
          </w:p>
          <w:p>
            <w:pPr>
              <w:pStyle w:val="36"/>
              <w:spacing w:after="0" w:line="240" w:lineRule="auto"/>
            </w:pPr>
            <w:r>
              <w:t xml:space="preserve">        sl1                                     NULL,</w:t>
            </w:r>
          </w:p>
          <w:p>
            <w:pPr>
              <w:pStyle w:val="36"/>
              <w:spacing w:after="0" w:line="240" w:lineRule="auto"/>
            </w:pPr>
            <w:r>
              <w:t xml:space="preserve">        sl2                                     INTEGER (0..1),</w:t>
            </w:r>
          </w:p>
          <w:p>
            <w:pPr>
              <w:pStyle w:val="36"/>
              <w:spacing w:after="0" w:line="240" w:lineRule="auto"/>
            </w:pPr>
            <w:r>
              <w:t xml:space="preserve">        sl4                                     INTEGER (0..3),</w:t>
            </w:r>
          </w:p>
          <w:p>
            <w:pPr>
              <w:pStyle w:val="36"/>
              <w:spacing w:after="0" w:line="240" w:lineRule="auto"/>
            </w:pPr>
            <w:r>
              <w:t xml:space="preserve">        sl5                                     INTEGER (0..4),</w:t>
            </w:r>
          </w:p>
          <w:p>
            <w:pPr>
              <w:pStyle w:val="36"/>
              <w:spacing w:after="0" w:line="240" w:lineRule="auto"/>
            </w:pPr>
            <w:r>
              <w:t xml:space="preserve">        sl8                                     INTEGER (0..7),</w:t>
            </w:r>
          </w:p>
          <w:p>
            <w:pPr>
              <w:pStyle w:val="36"/>
              <w:spacing w:after="0" w:line="240" w:lineRule="auto"/>
            </w:pPr>
            <w:r>
              <w:t xml:space="preserve">        sl10                                    INTEGER (0..9),</w:t>
            </w:r>
          </w:p>
          <w:p>
            <w:pPr>
              <w:pStyle w:val="36"/>
              <w:spacing w:after="0" w:line="240" w:lineRule="auto"/>
            </w:pPr>
            <w:r>
              <w:t xml:space="preserve">        sl16                                    INTEGER (0..15),</w:t>
            </w:r>
          </w:p>
          <w:p>
            <w:pPr>
              <w:pStyle w:val="36"/>
              <w:spacing w:after="0" w:line="240" w:lineRule="auto"/>
            </w:pPr>
            <w:r>
              <w:t xml:space="preserve">        sl20                                    INTEGER (0..19),</w:t>
            </w:r>
          </w:p>
          <w:p>
            <w:pPr>
              <w:pStyle w:val="36"/>
              <w:spacing w:after="0" w:line="240" w:lineRule="auto"/>
            </w:pPr>
            <w:r>
              <w:t xml:space="preserve">        sl40                                    INTEGER (0..39),</w:t>
            </w:r>
          </w:p>
          <w:p>
            <w:pPr>
              <w:pStyle w:val="36"/>
              <w:spacing w:after="0" w:line="240" w:lineRule="auto"/>
            </w:pPr>
            <w:r>
              <w:t xml:space="preserve">        sl80                                    INTEGER (0..79),</w:t>
            </w:r>
          </w:p>
          <w:p>
            <w:pPr>
              <w:pStyle w:val="36"/>
              <w:spacing w:after="0" w:line="240" w:lineRule="auto"/>
            </w:pPr>
            <w:r>
              <w:t xml:space="preserve">        sl160                                   INTEGER (0..159),</w:t>
            </w:r>
          </w:p>
          <w:p>
            <w:pPr>
              <w:pStyle w:val="36"/>
              <w:spacing w:after="0" w:line="240" w:lineRule="auto"/>
            </w:pPr>
            <w:r>
              <w:t xml:space="preserve">        sl320                                   INTEGER (0..319),</w:t>
            </w:r>
          </w:p>
          <w:p>
            <w:pPr>
              <w:pStyle w:val="36"/>
              <w:spacing w:after="0" w:line="240" w:lineRule="auto"/>
            </w:pPr>
            <w:r>
              <w:t xml:space="preserve">        sl640                                   INTEGER (0..639),</w:t>
            </w:r>
          </w:p>
          <w:p>
            <w:pPr>
              <w:pStyle w:val="36"/>
              <w:spacing w:after="0" w:line="240" w:lineRule="auto"/>
            </w:pPr>
            <w:r>
              <w:t xml:space="preserve">        sl1280                                  INTEGER (0..1279),</w:t>
            </w:r>
          </w:p>
          <w:p>
            <w:pPr>
              <w:pStyle w:val="36"/>
              <w:spacing w:after="0" w:line="240" w:lineRule="auto"/>
            </w:pPr>
            <w:r>
              <w:t xml:space="preserve">        sl2560                                  INTEGER (0..2559)</w:t>
            </w:r>
          </w:p>
          <w:p>
            <w:pPr>
              <w:pStyle w:val="36"/>
              <w:spacing w:after="0" w:line="240" w:lineRule="auto"/>
            </w:pPr>
            <w:r>
              <w:t xml:space="preserve">    }                                                                                                   OPTIONAL,   -- Cond Setup</w:t>
            </w:r>
          </w:p>
          <w:p>
            <w:pPr>
              <w:pStyle w:val="36"/>
              <w:spacing w:after="0" w:line="240" w:lineRule="auto"/>
            </w:pPr>
            <w:r>
              <w:t xml:space="preserve">    duration                                INTEGER (2..2559)                                           OPTIONAL,   -- Need R</w:t>
            </w:r>
          </w:p>
          <w:p>
            <w:pPr>
              <w:numPr>
                <w:ilvl w:val="0"/>
                <w:numId w:val="0"/>
              </w:numPr>
              <w:autoSpaceDE w:val="0"/>
              <w:autoSpaceDN w:val="0"/>
              <w:adjustRightInd w:val="0"/>
              <w:snapToGrid w:val="0"/>
              <w:spacing w:after="0" w:line="240" w:lineRule="auto"/>
              <w:jc w:val="left"/>
              <w:rPr>
                <w:rFonts w:cs="Times New Roman"/>
                <w:kern w:val="0"/>
                <w:sz w:val="20"/>
                <w:szCs w:val="20"/>
                <w:lang w:eastAsia="zh-CN"/>
              </w:rPr>
            </w:pPr>
            <w:r>
              <w:t xml:space="preserve">    </w:t>
            </w:r>
            <w:r>
              <w:rPr>
                <w:rFonts w:ascii="Courier New" w:hAnsi="Courier New" w:cs="Courier New"/>
                <w:sz w:val="16"/>
                <w:szCs w:val="16"/>
              </w:rPr>
              <w:t>monitoringSymbolsWithinSlot             BIT STRING (SIZE (14))                                      OPTIONAL,   -- Cond Setup</w:t>
            </w:r>
          </w:p>
          <w:p>
            <w:pPr>
              <w:widowControl/>
              <w:numPr>
                <w:ilvl w:val="0"/>
                <w:numId w:val="0"/>
              </w:numPr>
              <w:autoSpaceDE w:val="0"/>
              <w:autoSpaceDN w:val="0"/>
              <w:adjustRightInd w:val="0"/>
              <w:snapToGrid w:val="0"/>
              <w:spacing w:after="180" w:line="22" w:lineRule="atLeast"/>
              <w:ind w:left="0" w:leftChars="0"/>
              <w:jc w:val="left"/>
              <w:rPr>
                <w:rFonts w:eastAsia="Batang"/>
                <w:b/>
                <w:bCs/>
                <w:sz w:val="20"/>
                <w:szCs w:val="20"/>
                <w:u w:val="single"/>
                <w:lang w:val="en-GB" w:eastAsia="zh-CN"/>
              </w:rPr>
            </w:pPr>
          </w:p>
          <w:p>
            <w:pPr>
              <w:widowControl/>
              <w:numPr>
                <w:ilvl w:val="0"/>
                <w:numId w:val="0"/>
              </w:numPr>
              <w:autoSpaceDE w:val="0"/>
              <w:autoSpaceDN w:val="0"/>
              <w:adjustRightInd w:val="0"/>
              <w:snapToGrid w:val="0"/>
              <w:spacing w:after="180" w:line="22" w:lineRule="atLeast"/>
              <w:ind w:left="0" w:leftChars="0"/>
              <w:jc w:val="left"/>
              <w:rPr>
                <w:sz w:val="20"/>
                <w:szCs w:val="20"/>
                <w:u w:val="single"/>
              </w:rPr>
            </w:pPr>
            <w:r>
              <w:rPr>
                <w:rFonts w:eastAsia="Batang"/>
                <w:b/>
                <w:bCs/>
                <w:sz w:val="20"/>
                <w:szCs w:val="20"/>
                <w:u w:val="single"/>
                <w:lang w:val="en-GB" w:eastAsia="zh-CN"/>
              </w:rPr>
              <w:t>RAN1 #10</w:t>
            </w:r>
            <w:r>
              <w:rPr>
                <w:rFonts w:hint="eastAsia" w:eastAsia="Batang"/>
                <w:b/>
                <w:bCs/>
                <w:sz w:val="20"/>
                <w:szCs w:val="20"/>
                <w:u w:val="single"/>
                <w:lang w:val="en-US" w:eastAsia="zh-CN"/>
              </w:rPr>
              <w:t>4bis</w:t>
            </w:r>
            <w:r>
              <w:rPr>
                <w:rFonts w:eastAsia="Batang"/>
                <w:b/>
                <w:bCs/>
                <w:sz w:val="20"/>
                <w:szCs w:val="20"/>
                <w:u w:val="single"/>
                <w:lang w:val="en-GB" w:eastAsia="zh-CN"/>
              </w:rPr>
              <w:t>-e</w:t>
            </w:r>
          </w:p>
          <w:p>
            <w:pPr>
              <w:widowControl/>
              <w:numPr>
                <w:ilvl w:val="0"/>
                <w:numId w:val="0"/>
              </w:numPr>
              <w:autoSpaceDE w:val="0"/>
              <w:autoSpaceDN w:val="0"/>
              <w:adjustRightInd w:val="0"/>
              <w:snapToGrid w:val="0"/>
              <w:spacing w:after="180" w:line="22" w:lineRule="atLeast"/>
              <w:ind w:left="0" w:leftChars="0"/>
              <w:rPr>
                <w:sz w:val="20"/>
                <w:szCs w:val="20"/>
                <w:u w:val="single"/>
              </w:rPr>
            </w:pPr>
            <w:r>
              <w:rPr>
                <w:sz w:val="20"/>
                <w:szCs w:val="20"/>
                <w:u w:val="single"/>
              </w:rPr>
              <w:t>Conclusion:</w:t>
            </w:r>
          </w:p>
          <w:p>
            <w:pPr>
              <w:widowControl/>
              <w:numPr>
                <w:ilvl w:val="0"/>
                <w:numId w:val="0"/>
              </w:numPr>
              <w:autoSpaceDE w:val="0"/>
              <w:autoSpaceDN w:val="0"/>
              <w:adjustRightInd w:val="0"/>
              <w:snapToGrid w:val="0"/>
              <w:spacing w:after="180" w:line="22" w:lineRule="atLeast"/>
              <w:rPr>
                <w:sz w:val="20"/>
                <w:szCs w:val="20"/>
              </w:rPr>
            </w:pPr>
            <w:r>
              <w:rPr>
                <w:sz w:val="20"/>
                <w:szCs w:val="20"/>
              </w:rPr>
              <w:t>For 120 kHz SCS, no multi-slot UE capability for PDCCH monitoring is needed.</w:t>
            </w:r>
          </w:p>
          <w:p>
            <w:pPr>
              <w:widowControl/>
              <w:numPr>
                <w:ilvl w:val="0"/>
                <w:numId w:val="0"/>
              </w:numPr>
              <w:autoSpaceDE w:val="0"/>
              <w:autoSpaceDN w:val="0"/>
              <w:adjustRightInd w:val="0"/>
              <w:snapToGrid w:val="0"/>
              <w:spacing w:after="180" w:line="22" w:lineRule="atLeast"/>
              <w:ind w:left="0" w:leftChars="0" w:firstLine="0" w:firstLineChars="0"/>
              <w:rPr>
                <w:sz w:val="20"/>
                <w:szCs w:val="20"/>
              </w:rPr>
            </w:pPr>
            <w:r>
              <w:rPr>
                <w:sz w:val="20"/>
                <w:szCs w:val="20"/>
                <w:highlight w:val="green"/>
              </w:rPr>
              <w:t>Agreement:</w:t>
            </w:r>
          </w:p>
          <w:p>
            <w:pPr>
              <w:numPr>
                <w:ilvl w:val="0"/>
                <w:numId w:val="0"/>
              </w:numPr>
              <w:autoSpaceDE w:val="0"/>
              <w:autoSpaceDN w:val="0"/>
              <w:adjustRightInd w:val="0"/>
              <w:snapToGrid w:val="0"/>
              <w:spacing w:after="180" w:line="22" w:lineRule="atLeast"/>
              <w:jc w:val="left"/>
              <w:rPr>
                <w:rFonts w:hint="default" w:cs="Times New Roman"/>
                <w:kern w:val="0"/>
                <w:sz w:val="20"/>
                <w:szCs w:val="20"/>
                <w:vertAlign w:val="baseline"/>
                <w:lang w:val="en-US" w:eastAsia="zh-CN"/>
              </w:rPr>
            </w:pPr>
            <w:r>
              <w:rPr>
                <w:sz w:val="20"/>
                <w:szCs w:val="20"/>
              </w:rPr>
              <w:t>For 120 kHz SCS in 52.6-71 GHz, the BD/CCE budget is the same as that for 120 kHz in FR2.</w:t>
            </w:r>
          </w:p>
        </w:tc>
      </w:tr>
    </w:tbl>
    <w:p>
      <w:pPr>
        <w:numPr>
          <w:ilvl w:val="0"/>
          <w:numId w:val="0"/>
        </w:numPr>
        <w:autoSpaceDE w:val="0"/>
        <w:autoSpaceDN w:val="0"/>
        <w:adjustRightInd w:val="0"/>
        <w:snapToGrid w:val="0"/>
        <w:spacing w:before="180" w:after="180" w:line="260" w:lineRule="auto"/>
        <w:jc w:val="both"/>
        <w:rPr>
          <w:rFonts w:hint="default" w:cs="Times New Roman"/>
          <w:b/>
          <w:bCs/>
          <w:kern w:val="0"/>
          <w:sz w:val="20"/>
          <w:szCs w:val="20"/>
          <w:lang w:val="en-US" w:eastAsia="zh-CN"/>
        </w:rPr>
      </w:pPr>
      <w:r>
        <w:rPr>
          <w:rFonts w:hint="eastAsia" w:cs="Times New Roman"/>
          <w:b/>
          <w:bCs/>
          <w:kern w:val="0"/>
          <w:sz w:val="20"/>
          <w:szCs w:val="20"/>
          <w:lang w:val="en-US" w:eastAsia="zh-CN"/>
        </w:rPr>
        <w:t xml:space="preserve">Proposal 4: The search space configuration for 120kHz SCS in FR2-2 including </w:t>
      </w:r>
      <w:r>
        <w:rPr>
          <w:rFonts w:hint="eastAsia" w:eastAsia="宋体"/>
          <w:b/>
          <w:bCs/>
          <w:i/>
          <w:iCs/>
          <w:lang w:val="en-US" w:eastAsia="zh-CN"/>
        </w:rPr>
        <w:t xml:space="preserve">monitoringSlotPeriodicityAndOffset </w:t>
      </w:r>
      <w:r>
        <w:rPr>
          <w:rFonts w:hint="eastAsia" w:cs="Times New Roman"/>
          <w:b/>
          <w:bCs/>
          <w:kern w:val="0"/>
          <w:sz w:val="20"/>
          <w:szCs w:val="20"/>
          <w:lang w:val="en-US" w:eastAsia="zh-CN"/>
        </w:rPr>
        <w:t xml:space="preserve">, </w:t>
      </w:r>
      <w:r>
        <w:rPr>
          <w:rFonts w:hint="eastAsia" w:eastAsia="宋体"/>
          <w:b/>
          <w:bCs/>
          <w:i/>
          <w:iCs/>
          <w:lang w:val="en-US" w:eastAsia="zh-CN"/>
        </w:rPr>
        <w:t>duration</w:t>
      </w:r>
      <w:r>
        <w:rPr>
          <w:rFonts w:hint="eastAsia" w:cs="Times New Roman"/>
          <w:b/>
          <w:bCs/>
          <w:kern w:val="0"/>
          <w:sz w:val="20"/>
          <w:szCs w:val="20"/>
          <w:lang w:val="en-US" w:eastAsia="zh-CN"/>
        </w:rPr>
        <w:t xml:space="preserve"> and </w:t>
      </w:r>
      <w:r>
        <w:rPr>
          <w:b/>
          <w:bCs/>
          <w:i/>
          <w:iCs/>
        </w:rPr>
        <w:t>monitoringSymbolsWithinSlot</w:t>
      </w:r>
      <w:r>
        <w:rPr>
          <w:rFonts w:hint="eastAsia" w:eastAsia="宋体"/>
          <w:b/>
          <w:bCs/>
          <w:i/>
          <w:iCs/>
          <w:lang w:val="en-US" w:eastAsia="zh-CN"/>
        </w:rPr>
        <w:t xml:space="preserve"> </w:t>
      </w:r>
      <w:r>
        <w:rPr>
          <w:rFonts w:hint="eastAsia" w:cs="Times New Roman"/>
          <w:b/>
          <w:bCs/>
          <w:kern w:val="0"/>
          <w:sz w:val="20"/>
          <w:szCs w:val="20"/>
          <w:lang w:val="en-US" w:eastAsia="zh-CN"/>
        </w:rPr>
        <w:t>can be the same as that for 120kHz in FR2-1.</w:t>
      </w:r>
    </w:p>
    <w:p>
      <w:pPr>
        <w:numPr>
          <w:ilvl w:val="0"/>
          <w:numId w:val="0"/>
        </w:numPr>
        <w:autoSpaceDE w:val="0"/>
        <w:autoSpaceDN w:val="0"/>
        <w:adjustRightInd w:val="0"/>
        <w:snapToGrid w:val="0"/>
        <w:spacing w:after="180" w:line="260" w:lineRule="auto"/>
        <w:jc w:val="both"/>
        <w:rPr>
          <w:rFonts w:hint="eastAsia" w:eastAsia="宋体"/>
          <w:bCs/>
          <w:lang w:val="en-US" w:eastAsia="zh-CN"/>
        </w:rPr>
      </w:pPr>
      <w:r>
        <w:rPr>
          <w:rFonts w:cs="Times New Roman"/>
          <w:kern w:val="0"/>
          <w:sz w:val="20"/>
          <w:szCs w:val="20"/>
          <w:lang w:eastAsia="zh-CN"/>
        </w:rPr>
        <w:t>Multi-slot PDCCH monitoring is based on slots within a slot group</w:t>
      </w:r>
      <w:r>
        <w:rPr>
          <w:rFonts w:hint="eastAsia" w:eastAsia="宋体"/>
          <w:bCs/>
          <w:lang w:val="en-US" w:eastAsia="zh-CN"/>
        </w:rPr>
        <w:t xml:space="preserve">, when configuring the search space set by higher layer parameter </w:t>
      </w:r>
      <w:r>
        <w:rPr>
          <w:rFonts w:hint="eastAsia" w:eastAsia="宋体"/>
          <w:bCs/>
          <w:i/>
          <w:iCs/>
          <w:lang w:val="en-US" w:eastAsia="zh-CN"/>
        </w:rPr>
        <w:t xml:space="preserve">monitoringSlotPeriodicityAndOffset </w:t>
      </w:r>
      <w:r>
        <w:rPr>
          <w:rFonts w:hint="eastAsia" w:eastAsia="宋体"/>
          <w:bCs/>
          <w:i w:val="0"/>
          <w:iCs w:val="0"/>
          <w:lang w:val="en-US" w:eastAsia="zh-CN"/>
        </w:rPr>
        <w:t>and</w:t>
      </w:r>
      <w:r>
        <w:rPr>
          <w:rFonts w:hint="eastAsia" w:eastAsia="宋体"/>
          <w:bCs/>
          <w:i/>
          <w:iCs/>
          <w:lang w:val="en-US" w:eastAsia="zh-CN"/>
        </w:rPr>
        <w:t xml:space="preserve"> duration</w:t>
      </w:r>
      <w:r>
        <w:rPr>
          <w:rFonts w:hint="eastAsia" w:eastAsia="宋体"/>
          <w:bCs/>
          <w:lang w:val="en-US"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val="en-US" w:eastAsia="zh-CN"/>
        </w:rPr>
        <w:t>,</w:t>
      </w:r>
      <w:r>
        <w:t xml:space="preserve"> </w:t>
      </w:r>
      <w:r>
        <w:rPr>
          <w:rFonts w:hint="eastAsia" w:eastAsia="宋体"/>
          <w:bCs/>
          <w:lang w:val="en-US" w:eastAsia="zh-CN"/>
        </w:rPr>
        <w:t xml:space="preserve">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is a</w:t>
      </w:r>
      <w:r>
        <w:rPr>
          <w:rFonts w:eastAsia="宋体"/>
          <w:bCs/>
          <w:lang w:val="en-US" w:eastAsia="zh-CN"/>
        </w:rPr>
        <w:t>n</w:t>
      </w:r>
      <w:r>
        <w:rPr>
          <w:rFonts w:hint="eastAsia" w:eastAsia="宋体"/>
          <w:bCs/>
          <w:lang w:val="en-US" w:eastAsia="zh-CN"/>
        </w:rPr>
        <w:t xml:space="preserve"> integral multiple of X slots (X slots consists a slot group). For example, if a slot group includes four slots (X=4), the duration </w:t>
      </w:r>
      <w:r>
        <w:rPr>
          <w:rFonts w:hint="eastAsia" w:eastAsia="宋体"/>
          <w:bCs/>
          <w:i/>
          <w:iCs/>
          <w:lang w:val="en-US" w:eastAsia="zh-CN"/>
        </w:rPr>
        <w:t>T</w:t>
      </w:r>
      <w:r>
        <w:rPr>
          <w:rFonts w:hint="eastAsia" w:eastAsia="宋体"/>
          <w:bCs/>
          <w:i/>
          <w:iCs/>
          <w:vertAlign w:val="subscript"/>
          <w:lang w:val="en-US" w:eastAsia="zh-CN"/>
        </w:rPr>
        <w:t>S</w:t>
      </w:r>
      <w:r>
        <w:rPr>
          <w:rFonts w:hint="eastAsia" w:eastAsia="宋体"/>
          <w:bCs/>
          <w:lang w:val="en-US" w:eastAsia="zh-CN"/>
        </w:rPr>
        <w:t xml:space="preserve"> can be configured as 4, 8, 12, 16, ... of slots. We can introduce new parameters (e.g. </w:t>
      </w:r>
      <w:r>
        <w:rPr>
          <w:rFonts w:hint="eastAsia" w:eastAsia="宋体"/>
          <w:bCs/>
          <w:i/>
          <w:iCs/>
          <w:lang w:val="en-US" w:eastAsia="zh-CN"/>
        </w:rPr>
        <w:t>monitoringSlotPeriodicityAndOffset-r17</w:t>
      </w:r>
      <w:r>
        <w:rPr>
          <w:rFonts w:hint="eastAsia" w:eastAsia="宋体"/>
          <w:bCs/>
          <w:lang w:val="en-US" w:eastAsia="zh-CN"/>
        </w:rPr>
        <w:t xml:space="preserve"> and </w:t>
      </w:r>
      <w:r>
        <w:rPr>
          <w:rFonts w:hint="eastAsia" w:eastAsia="宋体"/>
          <w:bCs/>
          <w:i/>
          <w:iCs/>
          <w:lang w:val="en-US" w:eastAsia="zh-CN"/>
        </w:rPr>
        <w:t>duration-r17</w:t>
      </w:r>
      <w:r>
        <w:rPr>
          <w:rFonts w:hint="eastAsia" w:eastAsia="宋体"/>
          <w:bCs/>
          <w:lang w:val="en-US" w:eastAsia="zh-CN"/>
        </w:rPr>
        <w:t xml:space="preserve"> ) and add </w:t>
      </w:r>
      <w:r>
        <w:rPr>
          <w:rFonts w:hint="eastAsia" w:eastAsia="宋体"/>
          <w:lang w:val="en-US" w:eastAsia="zh-CN"/>
        </w:rPr>
        <w:t>other appropriate periodicity/duration values in addition to the existing configurable values. Moreover, additional restrictions are needed to make sure that the values of periodicity and duration for multi-slot PDCCH monitoring in FR2-2 are an integral multiple of slot groups.</w:t>
      </w:r>
    </w:p>
    <w:p>
      <w:pPr>
        <w:numPr>
          <w:ilvl w:val="0"/>
          <w:numId w:val="0"/>
        </w:numPr>
        <w:autoSpaceDE w:val="0"/>
        <w:autoSpaceDN w:val="0"/>
        <w:adjustRightInd w:val="0"/>
        <w:snapToGrid w:val="0"/>
        <w:spacing w:line="260" w:lineRule="auto"/>
        <w:jc w:val="both"/>
        <w:rPr>
          <w:rFonts w:hint="eastAsia" w:eastAsia="宋体"/>
          <w:bCs/>
          <w:lang w:val="en-US" w:eastAsia="zh-CN"/>
        </w:rPr>
      </w:pPr>
      <w:r>
        <w:rPr>
          <w:rFonts w:hint="eastAsia" w:eastAsia="宋体"/>
          <w:b/>
          <w:bCs w:val="0"/>
          <w:lang w:val="en-US" w:eastAsia="zh-CN"/>
        </w:rPr>
        <w:t xml:space="preserve">Proposal 5: For </w:t>
      </w:r>
      <w:r>
        <w:rPr>
          <w:rFonts w:hint="eastAsia" w:eastAsia="宋体"/>
          <w:b/>
          <w:lang w:val="en-US" w:eastAsia="zh-CN"/>
        </w:rPr>
        <w:t>multi-slot PDCCH monitoring in FR2-2, w</w:t>
      </w:r>
      <w:r>
        <w:rPr>
          <w:rFonts w:hint="eastAsia" w:eastAsia="宋体"/>
          <w:b/>
          <w:bCs w:val="0"/>
          <w:lang w:val="en-US" w:eastAsia="zh-CN"/>
        </w:rPr>
        <w:t xml:space="preserve">e suggest introducing new parameters (e.g. </w:t>
      </w:r>
      <w:r>
        <w:rPr>
          <w:rFonts w:hint="eastAsia" w:eastAsia="宋体"/>
          <w:b/>
          <w:bCs w:val="0"/>
          <w:i/>
          <w:iCs/>
          <w:lang w:val="en-US" w:eastAsia="zh-CN"/>
        </w:rPr>
        <w:t>monitoringSlotPeriodicityAndOffset-r17</w:t>
      </w:r>
      <w:r>
        <w:rPr>
          <w:rFonts w:hint="eastAsia" w:eastAsia="宋体"/>
          <w:b/>
          <w:bCs w:val="0"/>
          <w:lang w:val="en-US" w:eastAsia="zh-CN"/>
        </w:rPr>
        <w:t xml:space="preserve"> and </w:t>
      </w:r>
      <w:r>
        <w:rPr>
          <w:rFonts w:hint="eastAsia" w:eastAsia="宋体"/>
          <w:b/>
          <w:bCs w:val="0"/>
          <w:i/>
          <w:iCs/>
          <w:lang w:val="en-US" w:eastAsia="zh-CN"/>
        </w:rPr>
        <w:t>duration-r17</w:t>
      </w:r>
      <w:r>
        <w:rPr>
          <w:rFonts w:hint="eastAsia" w:eastAsia="宋体"/>
          <w:b/>
          <w:bCs w:val="0"/>
          <w:lang w:val="en-US" w:eastAsia="zh-CN"/>
        </w:rPr>
        <w:t xml:space="preserve"> ) and adding </w:t>
      </w:r>
      <w:r>
        <w:rPr>
          <w:rFonts w:hint="eastAsia" w:eastAsia="宋体"/>
          <w:b/>
          <w:lang w:val="en-US" w:eastAsia="zh-CN"/>
        </w:rPr>
        <w:t>other appropriate periodicity/duration values in addition to the existing configurable values. Moreover, additional restrictions are needed to make sure that the values of periodicity and duration for 480/960 kHz are an integral multiple of slot groups.</w:t>
      </w:r>
    </w:p>
    <w:p>
      <w:pPr>
        <w:spacing w:line="260" w:lineRule="auto"/>
        <w:jc w:val="both"/>
        <w:rPr>
          <w:rFonts w:hint="default" w:eastAsia="宋体"/>
          <w:bCs/>
          <w:lang w:val="en-US" w:eastAsia="zh-CN"/>
        </w:rPr>
      </w:pPr>
      <w:r>
        <w:rPr>
          <w:rFonts w:hint="eastAsia" w:eastAsia="宋体"/>
          <w:bCs/>
          <w:lang w:val="en-US" w:eastAsia="zh-CN"/>
        </w:rPr>
        <w:t>Besides, for Group (2) SS: Type 1 CSS without dedicated RRC configuration and type 0, 0A, and 2 CSS</w:t>
      </w:r>
      <w:r>
        <w:rPr>
          <w:rFonts w:hint="eastAsia" w:eastAsia="宋体"/>
          <w:lang w:val="en-US" w:eastAsia="zh-CN"/>
        </w:rPr>
        <w:t xml:space="preserve">, </w:t>
      </w:r>
      <w:r>
        <w:rPr>
          <w:rFonts w:hint="default" w:ascii="Times New Roman" w:hAnsi="Times New Roman" w:cs="Times New Roman"/>
          <w:sz w:val="20"/>
          <w:szCs w:val="20"/>
        </w:rPr>
        <w:t>SS monitoring locations can be anywhere within a slot group of X slots</w:t>
      </w:r>
      <w:r>
        <w:rPr>
          <w:rFonts w:hint="eastAsia" w:ascii="Times New Roman" w:hAnsi="Times New Roman" w:eastAsia="宋体" w:cs="Times New Roman"/>
          <w:sz w:val="20"/>
          <w:szCs w:val="20"/>
          <w:lang w:val="en-US" w:eastAsia="zh-CN"/>
        </w:rPr>
        <w:t>.</w:t>
      </w:r>
      <w:r>
        <w:rPr>
          <w:rFonts w:hint="eastAsia" w:eastAsia="宋体"/>
          <w:lang w:val="en-US" w:eastAsia="zh-CN"/>
        </w:rPr>
        <w:t xml:space="preserve"> It is hard to indicate monitoring occasions by simply using the parameter </w:t>
      </w:r>
      <w:r>
        <w:rPr>
          <w:i/>
          <w:iCs/>
        </w:rPr>
        <w:t>monitoringSymbolsWithinSlot</w:t>
      </w:r>
      <w:r>
        <w:rPr>
          <w:rFonts w:hint="eastAsia" w:eastAsia="宋体"/>
          <w:lang w:val="en-US" w:eastAsia="zh-CN"/>
        </w:rPr>
        <w:t xml:space="preserve"> due to the lack of </w:t>
      </w:r>
      <w:r>
        <w:rPr>
          <w:rFonts w:hint="default" w:eastAsia="宋体"/>
          <w:lang w:val="en-US" w:eastAsia="zh-CN"/>
        </w:rPr>
        <w:t>“</w:t>
      </w:r>
      <w:r>
        <w:rPr>
          <w:rFonts w:hint="eastAsia" w:eastAsia="宋体"/>
          <w:lang w:val="en-US" w:eastAsia="zh-CN"/>
        </w:rPr>
        <w:t>monitoring slots location within the slot group</w:t>
      </w:r>
      <w:r>
        <w:rPr>
          <w:rFonts w:hint="default" w:eastAsia="宋体"/>
          <w:lang w:val="en-US" w:eastAsia="zh-CN"/>
        </w:rPr>
        <w:t>”</w:t>
      </w:r>
      <w:r>
        <w:rPr>
          <w:rFonts w:hint="eastAsia" w:eastAsia="宋体"/>
          <w:lang w:val="en-US" w:eastAsia="zh-CN"/>
        </w:rPr>
        <w:t xml:space="preserve"> information. A new slot level bitmap (e.g. </w:t>
      </w:r>
      <w:r>
        <w:rPr>
          <w:rFonts w:hint="eastAsia" w:eastAsia="宋体"/>
          <w:i/>
          <w:iCs/>
          <w:lang w:val="en-US" w:eastAsia="zh-CN"/>
        </w:rPr>
        <w:t>monitoringSlotsWithinSlotGroup</w:t>
      </w:r>
      <w:r>
        <w:rPr>
          <w:rFonts w:hint="eastAsia" w:eastAsia="宋体"/>
          <w:lang w:val="en-US" w:eastAsia="zh-CN"/>
        </w:rPr>
        <w:t>) needs to be introduced to indicate which slots have monitoring occasions winthin a slot group for SCS 480/960 kHz.</w:t>
      </w:r>
    </w:p>
    <w:p>
      <w:pPr>
        <w:spacing w:after="0" w:line="260" w:lineRule="auto"/>
        <w:jc w:val="both"/>
        <w:rPr>
          <w:rFonts w:hint="eastAsia"/>
          <w:b/>
          <w:bCs w:val="0"/>
          <w:lang w:val="en-US" w:eastAsia="zh-CN"/>
        </w:rPr>
      </w:pPr>
      <w:r>
        <w:rPr>
          <w:rFonts w:hint="eastAsia" w:eastAsia="宋体"/>
          <w:b/>
          <w:lang w:val="en-US" w:eastAsia="zh-CN"/>
        </w:rPr>
        <w:t xml:space="preserve">Proposal 6: </w:t>
      </w:r>
      <w:r>
        <w:rPr>
          <w:rFonts w:hint="eastAsia" w:eastAsia="宋体"/>
          <w:b/>
          <w:bCs/>
          <w:lang w:val="en-US" w:eastAsia="zh-CN"/>
        </w:rPr>
        <w:t>A</w:t>
      </w:r>
      <w:r>
        <w:rPr>
          <w:rFonts w:hint="eastAsia" w:eastAsia="宋体"/>
          <w:b/>
          <w:bCs w:val="0"/>
          <w:lang w:val="en-US" w:eastAsia="zh-CN"/>
        </w:rPr>
        <w:t xml:space="preserve"> new slot level bitmap (e.g. </w:t>
      </w:r>
      <w:r>
        <w:rPr>
          <w:rFonts w:hint="eastAsia" w:eastAsia="宋体"/>
          <w:b/>
          <w:bCs/>
          <w:i/>
          <w:iCs/>
          <w:lang w:val="en-US" w:eastAsia="zh-CN"/>
        </w:rPr>
        <w:t>monitoringSlotsWithinSlotGroup</w:t>
      </w:r>
      <w:r>
        <w:rPr>
          <w:rFonts w:hint="eastAsia" w:eastAsia="宋体"/>
          <w:b/>
          <w:bCs w:val="0"/>
          <w:lang w:val="en-US" w:eastAsia="zh-CN"/>
        </w:rPr>
        <w:t>) needs to be introduced to indicate which slots have monitoring occasions winthin a slot group for SCS 480/960 kHz.</w:t>
      </w:r>
      <w:r>
        <w:rPr>
          <w:rFonts w:hint="eastAsia"/>
          <w:b/>
          <w:bCs w:val="0"/>
          <w:lang w:val="en-US" w:eastAsia="zh-CN"/>
        </w:rPr>
        <w:t xml:space="preserve"> </w:t>
      </w:r>
    </w:p>
    <w:p>
      <w:pPr>
        <w:pStyle w:val="3"/>
        <w:numPr>
          <w:ilvl w:val="1"/>
          <w:numId w:val="0"/>
        </w:numPr>
        <w:snapToGrid w:val="0"/>
        <w:spacing w:after="240" w:line="260" w:lineRule="auto"/>
        <w:rPr>
          <w:rFonts w:ascii="Times New Roman" w:hAnsi="Times New Roman" w:eastAsia="宋体"/>
          <w:b/>
          <w:bCs w:val="0"/>
          <w:lang w:val="en-US" w:eastAsia="zh-CN"/>
        </w:rPr>
      </w:pPr>
      <w:r>
        <w:rPr>
          <w:rFonts w:hint="eastAsia" w:ascii="Times New Roman" w:hAnsi="Times New Roman" w:eastAsia="宋体"/>
          <w:b/>
          <w:bCs w:val="0"/>
          <w:lang w:val="en-US" w:eastAsia="zh-CN"/>
        </w:rPr>
        <w:t>2.4  Search space set group switching</w:t>
      </w:r>
    </w:p>
    <w:p>
      <w:pPr>
        <w:widowControl w:val="0"/>
        <w:autoSpaceDE w:val="0"/>
        <w:autoSpaceDN w:val="0"/>
        <w:adjustRightInd w:val="0"/>
        <w:spacing w:after="120"/>
        <w:ind w:left="0" w:leftChars="0" w:firstLine="0" w:firstLineChars="0"/>
        <w:jc w:val="both"/>
        <w:rPr>
          <w:rFonts w:hint="default" w:ascii="Times New Roman" w:hAnsi="Times New Roman" w:eastAsia="宋体" w:cs="Times New Roman"/>
          <w:sz w:val="20"/>
          <w:szCs w:val="20"/>
          <w:lang w:val="en-US" w:eastAsia="zh-CN"/>
        </w:rPr>
      </w:pPr>
      <w:r>
        <w:rPr>
          <w:lang w:eastAsia="zh-CN"/>
        </w:rPr>
        <w:t>Search Space Set Group</w:t>
      </w:r>
      <w:r>
        <w:rPr>
          <w:rFonts w:hint="eastAsia"/>
          <w:lang w:val="en-US" w:eastAsia="zh-CN"/>
        </w:rPr>
        <w:t xml:space="preserve"> (SSSG)</w:t>
      </w:r>
      <w:r>
        <w:rPr>
          <w:lang w:eastAsia="zh-CN"/>
        </w:rPr>
        <w:t xml:space="preserve"> Switching was introduced in Rel-16 NR-U.</w:t>
      </w:r>
      <w:r>
        <w:rPr>
          <w:rFonts w:hint="eastAsia"/>
          <w:lang w:val="en-US" w:eastAsia="zh-CN"/>
        </w:rPr>
        <w:t xml:space="preserve"> In order to reduce access delay and save power, the SSSG monitoring periodicity/granularity is increased or decreased according to the channel access procedure. UE has to </w:t>
      </w:r>
      <w:r>
        <w:rPr>
          <w:rFonts w:hint="eastAsia"/>
          <w:lang w:eastAsia="zh-CN"/>
        </w:rPr>
        <w:t xml:space="preserve">support </w:t>
      </w:r>
      <w:r>
        <w:rPr>
          <w:lang w:eastAsia="zh-CN"/>
        </w:rPr>
        <w:t>frequen</w:t>
      </w:r>
      <w:r>
        <w:rPr>
          <w:rFonts w:hint="eastAsia"/>
          <w:lang w:val="en-US" w:eastAsia="zh-CN"/>
        </w:rPr>
        <w:t>t</w:t>
      </w:r>
      <w:r>
        <w:rPr>
          <w:rFonts w:hint="eastAsia"/>
          <w:lang w:eastAsia="zh-CN"/>
        </w:rPr>
        <w:t xml:space="preserve"> PDCCH monitoring outside gNB-COT and infrequent PDCCH monitoring inside COT</w:t>
      </w:r>
      <w:r>
        <w:rPr>
          <w:rFonts w:hint="eastAsia"/>
          <w:lang w:val="en-US" w:eastAsia="zh-CN"/>
        </w:rPr>
        <w:t xml:space="preserve">. </w:t>
      </w:r>
      <w:r>
        <w:rPr>
          <w:rFonts w:hint="eastAsia"/>
          <w:lang w:eastAsia="zh-CN"/>
        </w:rPr>
        <w:t xml:space="preserve">The existing </w:t>
      </w:r>
      <w:r>
        <w:rPr>
          <w:lang w:eastAsia="zh-CN"/>
        </w:rPr>
        <w:t>SSSG switching</w:t>
      </w:r>
      <w:r>
        <w:rPr>
          <w:rFonts w:hint="eastAsia"/>
          <w:lang w:eastAsia="zh-CN"/>
        </w:rPr>
        <w:t xml:space="preserve"> is applied for SCS 15/30/60 kHz</w:t>
      </w:r>
      <w:r>
        <w:rPr>
          <w:rFonts w:hint="eastAsia"/>
          <w:lang w:val="en-US" w:eastAsia="zh-CN"/>
        </w:rPr>
        <w:t>, for SSSG switching on large SCS values like 120</w:t>
      </w:r>
      <w:r>
        <w:rPr>
          <w:rFonts w:hint="eastAsia"/>
          <w:lang w:eastAsia="zh-CN"/>
        </w:rPr>
        <w:t xml:space="preserve">, 480 and 960 </w:t>
      </w:r>
      <w:r>
        <w:rPr>
          <w:rFonts w:hint="eastAsia"/>
          <w:lang w:val="en-US" w:eastAsia="zh-CN"/>
        </w:rPr>
        <w:t>kHz, UE need</w:t>
      </w:r>
      <w:r>
        <w:rPr>
          <w:lang w:val="en-US" w:eastAsia="zh-CN"/>
        </w:rPr>
        <w:t>s</w:t>
      </w:r>
      <w:r>
        <w:rPr>
          <w:rFonts w:hint="eastAsia"/>
          <w:lang w:val="en-US" w:eastAsia="zh-CN"/>
        </w:rPr>
        <w:t xml:space="preserve"> to </w:t>
      </w:r>
      <w:r>
        <w:rPr>
          <w:rFonts w:hint="eastAsia"/>
          <w:lang w:eastAsia="zh-CN"/>
        </w:rPr>
        <w:t xml:space="preserve">dynamically change between two PDCCH monitoring </w:t>
      </w:r>
      <w:r>
        <w:rPr>
          <w:rFonts w:hint="eastAsia"/>
          <w:lang w:val="en-US" w:eastAsia="zh-CN"/>
        </w:rPr>
        <w:t xml:space="preserve">periodicity/granularity. </w:t>
      </w:r>
      <w:r>
        <w:rPr>
          <w:rFonts w:hint="eastAsia"/>
          <w:lang w:eastAsia="zh-CN"/>
        </w:rPr>
        <w:t xml:space="preserve"> </w:t>
      </w:r>
      <w:r>
        <w:rPr>
          <w:rFonts w:hint="eastAsia"/>
          <w:lang w:val="en-US" w:eastAsia="zh-CN"/>
        </w:rPr>
        <w:t>Besides, t</w:t>
      </w:r>
      <w:r>
        <w:rPr>
          <w:rFonts w:hint="eastAsia"/>
          <w:lang w:eastAsia="zh-CN"/>
        </w:rPr>
        <w:t>he switching time</w:t>
      </w:r>
      <w:r>
        <w:rPr>
          <w:rFonts w:hint="eastAsia"/>
          <w:lang w:val="en-US" w:eastAsia="zh-CN"/>
        </w:rP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eastAsia"/>
          <w:lang w:eastAsia="zh-CN"/>
        </w:rPr>
        <w:t xml:space="preserve"> with all SCSs supported in above 52.6 GHz needs to be defined if SSSG switching is agreed to be supported. </w:t>
      </w:r>
      <w:r>
        <w:rPr>
          <w:rFonts w:hint="eastAsia"/>
          <w:lang w:val="en-US" w:eastAsia="zh-CN"/>
        </w:rPr>
        <w:t>We agree with th</w:t>
      </w:r>
      <w:r>
        <w:rPr>
          <w:rFonts w:hint="default" w:ascii="Times New Roman" w:hAnsi="Times New Roman" w:cs="Times New Roman"/>
          <w:sz w:val="20"/>
          <w:szCs w:val="20"/>
        </w:rPr>
        <w:t xml:space="preserve">e following </w:t>
      </w:r>
      <w:r>
        <w:rPr>
          <w:rFonts w:hint="eastAsia" w:eastAsia="宋体" w:cs="Times New Roman"/>
          <w:sz w:val="20"/>
          <w:szCs w:val="20"/>
          <w:lang w:val="en-US" w:eastAsia="zh-CN"/>
        </w:rPr>
        <w:t xml:space="preserve">working assumption made in RAN1#107 e-meeting indicating </w:t>
      </w:r>
      <w:r>
        <w:rPr>
          <w:rFonts w:hint="default" w:ascii="Times New Roman" w:hAnsi="Times New Roman" w:cs="Times New Roman"/>
          <w:sz w:val="20"/>
          <w:szCs w:val="20"/>
        </w:rPr>
        <w:t xml:space="preserve">values </w:t>
      </w:r>
      <w:r>
        <w:rPr>
          <w:rFonts w:hint="eastAsia" w:eastAsia="宋体" w:cs="Times New Roman"/>
          <w:sz w:val="20"/>
          <w:szCs w:val="20"/>
          <w:lang w:val="en-US" w:eastAsia="zh-CN"/>
        </w:rPr>
        <w:t>of</w:t>
      </w:r>
      <w:r>
        <w:rPr>
          <w:rFonts w:hint="default" w:ascii="Times New Roman" w:hAnsi="Times New Roman" w:cs="Times New Roman"/>
          <w:sz w:val="20"/>
          <w:szCs w:val="20"/>
        </w:rPr>
        <w:t xml:space="preserve">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29"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0D2B&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5E0D2B&quot; wsp:rsidP=&quot;005E0D2B&quot;&gt;&lt;m:oMathPara&gt;&lt;m:oMath&gt;&lt;m:sSub&gt;&lt;m:sSubPr&gt;&lt;m:ctrlPr&gt;&lt;w:rPr&gt;&lt;w:rFonts w:ascii=&quot;Cambria Math&quot; w:h-ansi=&quot;Cambria Math&quot;/&gt;&lt;wx:font wx:val=&quot;Cambria Math&quot;/&gt;&lt;w:i/&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fldChar w:fldCharType="end"/>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eastAsia" w:ascii="Cambria Math" w:hAnsi="Cambria Math" w:eastAsia="宋体"/>
          <w:i w:val="0"/>
          <w:lang w:val="en-US" w:eastAsia="zh-CN"/>
        </w:rPr>
        <w:t xml:space="preserve"> </w:t>
      </w:r>
      <w:r>
        <w:rPr>
          <w:rFonts w:hint="default" w:ascii="Times New Roman" w:hAnsi="Times New Roman" w:cs="Times New Roman"/>
          <w:sz w:val="20"/>
          <w:szCs w:val="20"/>
        </w:rPr>
        <w:t>for 120/480/960 kHz</w:t>
      </w:r>
      <w:r>
        <w:rPr>
          <w:rFonts w:hint="eastAsia" w:eastAsia="宋体" w:cs="Times New Roman"/>
          <w:sz w:val="20"/>
          <w:szCs w:val="20"/>
          <w:lang w:val="en-US" w:eastAsia="zh-CN"/>
        </w:rPr>
        <w:t>.</w:t>
      </w:r>
    </w:p>
    <w:p>
      <w:pPr>
        <w:pStyle w:val="125"/>
        <w:widowControl w:val="0"/>
        <w:numPr>
          <w:ilvl w:val="0"/>
          <w:numId w:val="13"/>
        </w:numPr>
        <w:snapToGrid w:val="0"/>
        <w:spacing w:line="260" w:lineRule="auto"/>
        <w:ind w:left="726" w:leftChars="0" w:hanging="363"/>
        <w:jc w:val="both"/>
        <w:rPr>
          <w:rFonts w:hint="default" w:ascii="Times New Roman" w:hAnsi="Times New Roman" w:cs="Times New Roman"/>
          <w:sz w:val="20"/>
          <w:szCs w:val="20"/>
        </w:rPr>
      </w:pPr>
      <w:r>
        <w:rPr>
          <w:rFonts w:hint="default" w:ascii="Times New Roman" w:hAnsi="Times New Roman" w:cs="Times New Roman"/>
          <w:sz w:val="20"/>
          <w:szCs w:val="20"/>
        </w:rPr>
        <w:t>Support only search space set group switching processing capability 1 with the following values</w:t>
      </w:r>
    </w:p>
    <w:tbl>
      <w:tblPr>
        <w:tblStyle w:val="25"/>
        <w:tblW w:w="0" w:type="auto"/>
        <w:tblInd w:w="16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noWrap w:val="0"/>
            <w:vAlign w:val="center"/>
          </w:tcPr>
          <w:p>
            <w:pPr>
              <w:pStyle w:val="47"/>
              <w:rPr>
                <w:rFonts w:hint="default" w:ascii="Times New Roman" w:hAnsi="Times New Roman" w:cs="Times New Roman"/>
                <w:sz w:val="20"/>
                <w:szCs w:val="20"/>
              </w:rPr>
            </w:pPr>
            <m:oMathPara>
              <m:oMath>
                <m:r>
                  <m:rPr>
                    <m:sty m:val="bi"/>
                  </m:rPr>
                  <w:rPr>
                    <w:rFonts w:hint="default" w:ascii="Cambria Math" w:hAnsi="Cambria Math" w:cs="Times New Roman"/>
                    <w:sz w:val="20"/>
                    <w:szCs w:val="20"/>
                  </w:rPr>
                  <m:t>μ</m:t>
                </m:r>
              </m:oMath>
            </m:oMathPara>
          </w:p>
        </w:tc>
        <w:tc>
          <w:tcPr>
            <w:tcW w:w="3385" w:type="dxa"/>
            <w:shd w:val="clear" w:color="auto" w:fill="E0E0E0"/>
            <w:noWrap w:val="0"/>
            <w:vAlign w:val="center"/>
          </w:tcPr>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Minimum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30" o:spt="75" type="#_x0000_t75" style="height:10.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869F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6869F0&quot; wsp:rsidP=&quot;006869F0&quot;&gt;&lt;m:oMathPara&gt;&lt;m:oMath&gt;&lt;m:sSub&gt;&lt;m:sSubPr&gt;&lt;m:ctrlPr&gt;&lt;w:rPr&gt;&lt;w:rFonts w:ascii=&quot;Cambria Math&quot; w:h-ansi=&quot;Cambria Math&quot; w:cs=&quot;Arial&quot;/&gt;&lt;wx:font wx:val=&quot;Cambria Math&quot;/&gt;&lt;w:sz-cs w:val=&quot;18&quot;/&gt;&lt;/w:rPr&gt;&lt;/m:ctrlPr&gt;&lt;/m:sSubPr&gt;&lt;m:e&gt;&lt;m:r&gt;&lt;m:rPr&gt;&lt;m:sty m:val=&quot;b&quot;/&gt;&lt;/m:rPr&gt;&lt;w:rPr&gt;&lt;w:rFonts w:ascii=&quot;Cambria Math&quot; w:h-ansi=&quot;Cambria Math&quot; w:cs=&quot;Arial&quot;/&gt;&lt;wx:font wx:val=&quot;Cambria Math&quot;/&gt;&lt;w:b/&gt;&lt;w:b-cs/&gt;&lt;w:sz-cs w:val=&quot;18&quot;/&gt;&lt;/w:rPr&gt;&lt;m:t&gt;P&lt;/m:t&gt;&lt;/m:r&gt;&lt;/m:e&gt;&lt;m:sub&gt;&lt;m:r&gt;&lt;m:rPr&gt;&lt;m:sty m:val=&quot;b&quot;/&gt;&lt;/m:rPr&gt;&lt;w:rPr&gt;&lt;w:rFonts w:ascii=&quot;Cambria Math&quot; w:h-ansi=&quot;Cambria Math&quot; w:cs=&quot;Arial&quot;/&gt;&lt;wx:font wx:val=&quot;Cambria Math&quot;/&gt;&lt;w:b/&gt;&lt;w:b-cs/&gt;&lt;w:sz-cs w:val=&quot;18&quot;/&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value for</w:t>
            </w:r>
          </w:p>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 UE processing </w:t>
            </w:r>
            <w:r>
              <w:rPr>
                <w:rFonts w:hint="default" w:ascii="Times New Roman" w:hAnsi="Times New Roman" w:cs="Times New Roman"/>
                <w:sz w:val="20"/>
                <w:szCs w:val="20"/>
                <w:lang w:eastAsia="zh-CN"/>
              </w:rPr>
              <w:t>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3</w:t>
            </w:r>
          </w:p>
        </w:tc>
        <w:tc>
          <w:tcPr>
            <w:tcW w:w="3385"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5</w:t>
            </w:r>
          </w:p>
        </w:tc>
        <w:tc>
          <w:tcPr>
            <w:tcW w:w="3385"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6</w:t>
            </w:r>
          </w:p>
        </w:tc>
        <w:tc>
          <w:tcPr>
            <w:tcW w:w="3385" w:type="dxa"/>
            <w:noWrap w:val="0"/>
            <w:vAlign w:val="center"/>
          </w:tcPr>
          <w:p>
            <w:pPr>
              <w:pStyle w:val="48"/>
              <w:rPr>
                <w:rFonts w:hint="default" w:ascii="Times New Roman" w:hAnsi="Times New Roman" w:cs="Times New Roman"/>
                <w:sz w:val="20"/>
                <w:szCs w:val="20"/>
              </w:rPr>
            </w:pPr>
            <w:r>
              <w:rPr>
                <w:rFonts w:hint="default" w:ascii="Times New Roman" w:hAnsi="Times New Roman" w:cs="Times New Roman"/>
                <w:sz w:val="20"/>
                <w:szCs w:val="20"/>
              </w:rPr>
              <w:t>320</w:t>
            </w:r>
          </w:p>
        </w:tc>
      </w:tr>
    </w:tbl>
    <w:p>
      <w:pPr>
        <w:jc w:val="both"/>
        <w:rPr>
          <w:lang w:eastAsia="zh-CN"/>
        </w:rPr>
      </w:pPr>
    </w:p>
    <w:p>
      <w:pPr>
        <w:spacing w:after="0" w:line="260" w:lineRule="auto"/>
        <w:jc w:val="left"/>
        <w:rPr>
          <w:rFonts w:hint="default" w:ascii="Times New Roman" w:hAnsi="Times New Roman" w:cs="Times New Roman"/>
          <w:b/>
          <w:sz w:val="20"/>
          <w:szCs w:val="20"/>
        </w:rPr>
      </w:pPr>
      <w:r>
        <w:rPr>
          <w:rFonts w:hint="eastAsia"/>
          <w:b/>
          <w:bCs w:val="0"/>
          <w:lang w:val="en-US" w:eastAsia="zh-CN"/>
        </w:rPr>
        <w:t xml:space="preserve">Proposal 7: </w:t>
      </w:r>
      <w:r>
        <w:rPr>
          <w:rFonts w:hint="eastAsia" w:eastAsia="宋体"/>
          <w:b/>
          <w:bCs/>
          <w:lang w:val="en-US" w:eastAsia="zh-CN"/>
        </w:rPr>
        <w:t xml:space="preserve">Confirm the working assumption: </w:t>
      </w:r>
      <w:r>
        <w:rPr>
          <w:rFonts w:hint="default" w:ascii="Times New Roman" w:hAnsi="Times New Roman" w:cs="Times New Roman"/>
          <w:b/>
          <w:sz w:val="20"/>
          <w:szCs w:val="20"/>
        </w:rPr>
        <w:t>Support only search space set group switching processing capability 1 with the following values</w:t>
      </w:r>
    </w:p>
    <w:tbl>
      <w:tblPr>
        <w:tblStyle w:val="25"/>
        <w:tblW w:w="0" w:type="auto"/>
        <w:tblInd w:w="16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noWrap w:val="0"/>
            <w:vAlign w:val="center"/>
          </w:tcPr>
          <w:p>
            <w:pPr>
              <w:pStyle w:val="47"/>
              <w:rPr>
                <w:rFonts w:hint="default" w:ascii="Times New Roman" w:hAnsi="Times New Roman" w:cs="Times New Roman"/>
                <w:sz w:val="20"/>
                <w:szCs w:val="20"/>
              </w:rPr>
            </w:pPr>
            <m:oMathPara>
              <m:oMath>
                <m:r>
                  <m:rPr>
                    <m:sty m:val="bi"/>
                  </m:rPr>
                  <w:rPr>
                    <w:rFonts w:hint="default" w:ascii="Cambria Math" w:hAnsi="Cambria Math" w:cs="Times New Roman"/>
                    <w:sz w:val="20"/>
                    <w:szCs w:val="20"/>
                  </w:rPr>
                  <m:t>μ</m:t>
                </m:r>
              </m:oMath>
            </m:oMathPara>
          </w:p>
        </w:tc>
        <w:tc>
          <w:tcPr>
            <w:tcW w:w="3385" w:type="dxa"/>
            <w:shd w:val="clear" w:color="auto" w:fill="E0E0E0"/>
            <w:noWrap w:val="0"/>
            <w:vAlign w:val="center"/>
          </w:tcPr>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Minimum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31" o:spt="75" type="#_x0000_t75" style="height:10.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869F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6869F0&quot; wsp:rsidP=&quot;006869F0&quot;&gt;&lt;m:oMathPara&gt;&lt;m:oMath&gt;&lt;m:sSub&gt;&lt;m:sSubPr&gt;&lt;m:ctrlPr&gt;&lt;w:rPr&gt;&lt;w:rFonts w:ascii=&quot;Cambria Math&quot; w:h-ansi=&quot;Cambria Math&quot; w:cs=&quot;Arial&quot;/&gt;&lt;wx:font wx:val=&quot;Cambria Math&quot;/&gt;&lt;w:sz-cs w:val=&quot;18&quot;/&gt;&lt;/w:rPr&gt;&lt;/m:ctrlPr&gt;&lt;/m:sSubPr&gt;&lt;m:e&gt;&lt;m:r&gt;&lt;m:rPr&gt;&lt;m:sty m:val=&quot;b&quot;/&gt;&lt;/m:rPr&gt;&lt;w:rPr&gt;&lt;w:rFonts w:ascii=&quot;Cambria Math&quot; w:h-ansi=&quot;Cambria Math&quot; w:cs=&quot;Arial&quot;/&gt;&lt;wx:font wx:val=&quot;Cambria Math&quot;/&gt;&lt;w:b/&gt;&lt;w:b-cs/&gt;&lt;w:sz-cs w:val=&quot;18&quot;/&gt;&lt;/w:rPr&gt;&lt;m:t&gt;P&lt;/m:t&gt;&lt;/m:r&gt;&lt;/m:e&gt;&lt;m:sub&gt;&lt;m:r&gt;&lt;m:rPr&gt;&lt;m:sty m:val=&quot;b&quot;/&gt;&lt;/m:rPr&gt;&lt;w:rPr&gt;&lt;w:rFonts w:ascii=&quot;Cambria Math&quot; w:h-ansi=&quot;Cambria Math&quot; w:cs=&quot;Arial&quot;/&gt;&lt;wx:font wx:val=&quot;Cambria Math&quot;/&gt;&lt;w:b/&gt;&lt;w:b-cs/&gt;&lt;w:sz-cs w:val=&quot;18&quot;/&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value for</w:t>
            </w:r>
          </w:p>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 UE processing </w:t>
            </w:r>
            <w:r>
              <w:rPr>
                <w:rFonts w:hint="default" w:ascii="Times New Roman" w:hAnsi="Times New Roman" w:cs="Times New Roman"/>
                <w:sz w:val="20"/>
                <w:szCs w:val="20"/>
                <w:lang w:eastAsia="zh-CN"/>
              </w:rPr>
              <w:t>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3</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5</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6</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320</w:t>
            </w:r>
          </w:p>
        </w:tc>
      </w:tr>
    </w:tbl>
    <w:p>
      <w:pPr>
        <w:spacing w:after="0" w:line="260" w:lineRule="auto"/>
        <w:jc w:val="left"/>
        <w:rPr>
          <w:rFonts w:hint="default"/>
          <w:b w:val="0"/>
          <w:bCs w:val="0"/>
          <w:lang w:val="en-US" w:eastAsia="zh-CN"/>
        </w:rPr>
      </w:pPr>
    </w:p>
    <w:p>
      <w:pPr>
        <w:pStyle w:val="3"/>
        <w:numPr>
          <w:ilvl w:val="1"/>
          <w:numId w:val="0"/>
        </w:numPr>
        <w:snapToGrid w:val="0"/>
        <w:spacing w:after="240" w:line="260" w:lineRule="auto"/>
        <w:rPr>
          <w:rFonts w:ascii="Times New Roman" w:hAnsi="Times New Roman" w:eastAsia="宋体"/>
          <w:b/>
          <w:bCs w:val="0"/>
          <w:lang w:val="en-US" w:eastAsia="zh-CN"/>
        </w:rPr>
      </w:pPr>
      <w:r>
        <w:rPr>
          <w:rFonts w:ascii="Times New Roman" w:hAnsi="Times New Roman"/>
          <w:b/>
          <w:bCs w:val="0"/>
          <w:lang w:val="en-US"/>
        </w:rPr>
        <w:t>2.</w:t>
      </w:r>
      <w:r>
        <w:rPr>
          <w:rFonts w:hint="eastAsia" w:ascii="Times New Roman" w:hAnsi="Times New Roman" w:eastAsia="宋体"/>
          <w:b/>
          <w:bCs w:val="0"/>
          <w:lang w:val="en-US" w:eastAsia="zh-CN"/>
        </w:rPr>
        <w:t>5</w:t>
      </w:r>
      <w:r>
        <w:rPr>
          <w:rFonts w:ascii="Times New Roman" w:hAnsi="Times New Roman"/>
          <w:b/>
          <w:bCs w:val="0"/>
          <w:lang w:val="en-US"/>
        </w:rPr>
        <w:t xml:space="preserve"> </w:t>
      </w:r>
      <w:r>
        <w:rPr>
          <w:rFonts w:ascii="Times New Roman" w:hAnsi="Times New Roman"/>
          <w:b/>
          <w:bCs w:val="0"/>
          <w:lang w:val="en-US"/>
        </w:rPr>
        <w:tab/>
      </w:r>
      <w:r>
        <w:rPr>
          <w:rFonts w:hint="eastAsia" w:ascii="Times New Roman" w:hAnsi="Times New Roman" w:eastAsia="宋体"/>
          <w:b/>
          <w:bCs w:val="0"/>
          <w:lang w:val="en-US" w:eastAsia="zh-CN"/>
        </w:rPr>
        <w:t>Cross-carrier scheduling</w:t>
      </w:r>
    </w:p>
    <w:p>
      <w:pPr>
        <w:widowControl/>
        <w:numPr>
          <w:ilvl w:val="0"/>
          <w:numId w:val="0"/>
        </w:numPr>
        <w:spacing w:line="240" w:lineRule="auto"/>
        <w:jc w:val="both"/>
        <w:rPr>
          <w:rFonts w:hint="default" w:eastAsia="宋体"/>
          <w:lang w:val="en-US" w:eastAsia="zh-CN"/>
        </w:rPr>
      </w:pPr>
      <w:r>
        <w:rPr>
          <w:rFonts w:hint="eastAsia" w:eastAsia="宋体"/>
          <w:lang w:val="en-US" w:eastAsia="zh-CN"/>
        </w:rPr>
        <w:t>As agreed in</w:t>
      </w:r>
      <w:r>
        <w:rPr>
          <w:rFonts w:hint="eastAsia"/>
          <w:lang w:val="en-US"/>
        </w:rPr>
        <w:t xml:space="preserve"> the RAN1 #10</w:t>
      </w:r>
      <w:r>
        <w:rPr>
          <w:rFonts w:hint="eastAsia" w:eastAsia="宋体"/>
          <w:lang w:val="en-US" w:eastAsia="zh-CN"/>
        </w:rPr>
        <w:t xml:space="preserve">7 </w:t>
      </w:r>
      <w:r>
        <w:rPr>
          <w:rFonts w:hint="eastAsia"/>
          <w:lang w:val="en-US"/>
        </w:rPr>
        <w:t>e-meeting</w:t>
      </w:r>
      <w:r>
        <w:rPr>
          <w:rFonts w:hint="eastAsia" w:eastAsia="宋体"/>
          <w:lang w:val="en-US" w:eastAsia="zh-CN"/>
        </w:rPr>
        <w:t xml:space="preserve">, </w:t>
      </w:r>
      <w:r>
        <w:t xml:space="preserve">the </w:t>
      </w:r>
      <w:r>
        <w:rPr>
          <w:i/>
          <w:iCs/>
          <w:color w:val="000000"/>
          <w:szCs w:val="20"/>
        </w:rPr>
        <w:t>N</w:t>
      </w:r>
      <w:r>
        <w:rPr>
          <w:i/>
          <w:iCs/>
          <w:color w:val="000000"/>
          <w:szCs w:val="20"/>
          <w:vertAlign w:val="subscript"/>
        </w:rPr>
        <w:t>pdsch</w:t>
      </w:r>
      <w:r>
        <w:rPr>
          <w:rFonts w:hint="eastAsia" w:eastAsia="宋体"/>
          <w:i/>
          <w:iCs/>
          <w:color w:val="000000"/>
          <w:szCs w:val="20"/>
          <w:vertAlign w:val="subscript"/>
          <w:lang w:val="en-US" w:eastAsia="zh-CN"/>
        </w:rPr>
        <w:t xml:space="preserve"> </w:t>
      </w:r>
      <w:r>
        <w:t>value of 120 kHz SCS</w:t>
      </w:r>
      <w:r>
        <w:rPr>
          <w:rFonts w:hint="eastAsia" w:eastAsia="宋体"/>
          <w:lang w:val="en-US" w:eastAsia="zh-CN"/>
        </w:rPr>
        <w:t xml:space="preserve"> is scaled</w:t>
      </w:r>
      <w:r>
        <w:t xml:space="preserve"> by 4 and 8 for 480 kHz and 960 kHz SCS respectively</w:t>
      </w:r>
      <w:r>
        <w:rPr>
          <w:rFonts w:hint="eastAsia" w:eastAsia="宋体"/>
          <w:lang w:val="en-US" w:eastAsia="zh-CN"/>
        </w:rPr>
        <w:t xml:space="preserve"> </w:t>
      </w:r>
      <w:r>
        <w:t>to maintain the same absolute time duration as that of 120 kHz SCS in FR2</w:t>
      </w:r>
      <w:r>
        <w:rPr>
          <w:rFonts w:hint="eastAsia" w:eastAsia="宋体"/>
          <w:lang w:val="en-US" w:eastAsia="zh-CN"/>
        </w:rPr>
        <w:t>-1</w:t>
      </w:r>
      <w:r>
        <w:t>.</w:t>
      </w:r>
      <w:r>
        <w:rPr>
          <w:rFonts w:hint="eastAsia" w:eastAsia="宋体"/>
          <w:lang w:val="en-US" w:eastAsia="zh-CN"/>
        </w:rPr>
        <w:t xml:space="preserve"> </w:t>
      </w:r>
      <w:r>
        <w:rPr>
          <w:i/>
          <w:iCs/>
          <w:color w:val="000000"/>
          <w:szCs w:val="20"/>
        </w:rPr>
        <w:t>N</w:t>
      </w:r>
      <w:r>
        <w:rPr>
          <w:i/>
          <w:iCs/>
          <w:color w:val="000000"/>
          <w:szCs w:val="20"/>
          <w:vertAlign w:val="subscript"/>
        </w:rPr>
        <w:t>pdsch</w:t>
      </w:r>
      <w:r>
        <w:rPr>
          <w:rFonts w:ascii="Times New Roman" w:hAnsi="Times New Roman"/>
          <w:szCs w:val="20"/>
          <w:lang w:eastAsia="zh-CN"/>
        </w:rPr>
        <w:t xml:space="preserve"> in 38.214 Section 5.5</w:t>
      </w:r>
      <w:r>
        <w:rPr>
          <w:rFonts w:hint="eastAsia" w:ascii="Times New Roman" w:hAnsi="Times New Roman"/>
          <w:szCs w:val="20"/>
          <w:lang w:val="en-US" w:eastAsia="zh-CN"/>
        </w:rPr>
        <w:t xml:space="preserve"> is the </w:t>
      </w:r>
      <w:r>
        <w:rPr>
          <w:rFonts w:ascii="Times New Roman" w:hAnsi="Times New Roman"/>
          <w:szCs w:val="20"/>
          <w:lang w:eastAsia="zh-CN"/>
        </w:rPr>
        <w:t>UE PDSCH reception preparation time with cross carrier scheduling with different subcarrier spacings for PDCCH and PDSCH</w:t>
      </w:r>
      <w:r>
        <w:rPr>
          <w:rFonts w:hint="eastAsia" w:ascii="Times New Roman" w:hAnsi="Times New Roman"/>
          <w:szCs w:val="20"/>
          <w:lang w:val="en-US" w:eastAsia="zh-CN"/>
        </w:rPr>
        <w:t>.</w:t>
      </w:r>
    </w:p>
    <w:p>
      <w:pPr>
        <w:pStyle w:val="75"/>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00"/>
                <w:lang w:eastAsia="fr-FR"/>
              </w:rPr>
            </w:pPr>
            <w:r>
              <w:rPr>
                <w:rFonts w:eastAsia="Batang"/>
                <w:color w:val="000000"/>
                <w:lang w:eastAsia="fr-F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FF"/>
                <w:lang w:val="zh-CN" w:eastAsia="fr-FR"/>
              </w:rPr>
            </w:pPr>
            <w:r>
              <w:rPr>
                <w:rFonts w:eastAsia="Batang"/>
                <w:color w:val="0000FF"/>
                <w:lang w:val="zh-CN" w:eastAsia="fr-FR"/>
              </w:rPr>
              <w:t>5</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FF"/>
                <w:lang w:val="zh-CN" w:eastAsia="fr-FR"/>
              </w:rPr>
            </w:pPr>
            <w:r>
              <w:rPr>
                <w:rFonts w:eastAsia="Batang"/>
                <w:color w:val="0000FF"/>
                <w:lang w:val="zh-CN" w:eastAsia="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FF"/>
                <w:lang w:val="zh-CN" w:eastAsia="fr-FR"/>
              </w:rPr>
            </w:pPr>
            <w:r>
              <w:rPr>
                <w:rFonts w:eastAsia="Batang"/>
                <w:color w:val="0000FF"/>
                <w:lang w:val="zh-CN" w:eastAsia="fr-FR"/>
              </w:rPr>
              <w:t>6</w:t>
            </w:r>
          </w:p>
        </w:tc>
        <w:tc>
          <w:tcPr>
            <w:tcW w:w="2195" w:type="dxa"/>
            <w:tcBorders>
              <w:top w:val="single" w:color="auto" w:sz="4" w:space="0"/>
              <w:left w:val="single" w:color="auto" w:sz="4" w:space="0"/>
              <w:bottom w:val="single" w:color="auto" w:sz="4" w:space="0"/>
              <w:right w:val="single" w:color="auto" w:sz="4" w:space="0"/>
            </w:tcBorders>
          </w:tcPr>
          <w:p>
            <w:pPr>
              <w:pStyle w:val="48"/>
              <w:rPr>
                <w:rFonts w:eastAsia="Batang"/>
                <w:color w:val="0000FF"/>
                <w:lang w:val="zh-CN" w:eastAsia="fr-FR"/>
              </w:rPr>
            </w:pPr>
            <w:r>
              <w:rPr>
                <w:rFonts w:eastAsia="Batang"/>
                <w:color w:val="0000FF"/>
                <w:lang w:val="zh-CN" w:eastAsia="fr-FR"/>
              </w:rPr>
              <w:t>112</w:t>
            </w:r>
          </w:p>
        </w:tc>
      </w:tr>
    </w:tbl>
    <w:p>
      <w:pPr>
        <w:widowControl/>
        <w:numPr>
          <w:ilvl w:val="0"/>
          <w:numId w:val="0"/>
        </w:numPr>
        <w:spacing w:after="40" w:line="240" w:lineRule="auto"/>
        <w:jc w:val="both"/>
        <w:rPr>
          <w:rFonts w:hint="eastAsia" w:eastAsia="宋体"/>
          <w:lang w:val="en-US" w:eastAsia="zh-CN"/>
        </w:rPr>
      </w:pPr>
    </w:p>
    <w:p>
      <w:pPr>
        <w:widowControl/>
        <w:numPr>
          <w:ilvl w:val="0"/>
          <w:numId w:val="0"/>
        </w:numPr>
        <w:spacing w:line="240" w:lineRule="auto"/>
        <w:jc w:val="both"/>
        <w:rPr>
          <w:rFonts w:hint="default"/>
          <w:lang w:val="en-US" w:eastAsia="zh-CN"/>
        </w:rPr>
      </w:pPr>
      <w:r>
        <w:rPr>
          <w:rFonts w:hint="eastAsia"/>
          <w:lang w:val="en-US" w:eastAsia="ko-KR"/>
        </w:rPr>
        <w:t>The cross</w:t>
      </w:r>
      <w:r>
        <w:rPr>
          <w:rFonts w:hint="eastAsia" w:eastAsia="宋体"/>
          <w:lang w:val="en-US" w:eastAsia="zh-CN"/>
        </w:rPr>
        <w:t>-</w:t>
      </w:r>
      <w:r>
        <w:rPr>
          <w:rFonts w:hint="eastAsia"/>
          <w:lang w:val="en-US" w:eastAsia="ko-KR"/>
        </w:rPr>
        <w:t>carrier scheduling here mainly refers to</w:t>
      </w:r>
      <w:r>
        <w:rPr>
          <w:rFonts w:hint="eastAsia" w:eastAsia="宋体"/>
          <w:lang w:val="en-US" w:eastAsia="zh-CN"/>
        </w:rPr>
        <w:t xml:space="preserve"> </w:t>
      </w:r>
      <w:r>
        <w:rPr>
          <w:rFonts w:hint="eastAsia"/>
          <w:lang w:val="en-US" w:eastAsia="ko-KR"/>
        </w:rPr>
        <w:t>cross</w:t>
      </w:r>
      <w:r>
        <w:rPr>
          <w:rFonts w:hint="eastAsia" w:eastAsia="宋体"/>
          <w:lang w:val="en-US" w:eastAsia="zh-CN"/>
        </w:rPr>
        <w:t>-</w:t>
      </w:r>
      <w:r>
        <w:rPr>
          <w:rFonts w:hint="eastAsia"/>
          <w:lang w:val="en-US" w:eastAsia="ko-KR"/>
        </w:rPr>
        <w:t xml:space="preserve">carrier scheduling </w:t>
      </w:r>
      <w:r>
        <w:rPr>
          <w:rFonts w:hint="eastAsia" w:eastAsia="宋体"/>
          <w:lang w:val="en-US" w:eastAsia="zh-CN"/>
        </w:rPr>
        <w:t xml:space="preserve">of a cell within 52.6-71GHz band from/to a cell within FR1/FR2-1. Although a cell within 52.6-71GHz band cross-carrier schedules other cells within FR1/FR2-1 is less likely, it should not be ruled out unless we find enough proof. </w:t>
      </w:r>
      <w:r>
        <w:rPr>
          <w:rFonts w:hint="eastAsia" w:eastAsia="宋体"/>
          <w:sz w:val="20"/>
          <w:lang w:val="en-US" w:eastAsia="zh-CN"/>
        </w:rPr>
        <w:t>In our understanding, a</w:t>
      </w:r>
      <w:r>
        <w:rPr>
          <w:sz w:val="20"/>
        </w:rPr>
        <w:t xml:space="preserve"> UE supporting 480 kHz</w:t>
      </w:r>
      <w:r>
        <w:rPr>
          <w:rFonts w:hint="eastAsia" w:eastAsia="宋体"/>
          <w:sz w:val="20"/>
          <w:lang w:val="en-US" w:eastAsia="zh-CN"/>
        </w:rPr>
        <w:t xml:space="preserve"> and 960 </w:t>
      </w:r>
      <w:r>
        <w:rPr>
          <w:sz w:val="20"/>
        </w:rPr>
        <w:t>kHz SCS supports</w:t>
      </w:r>
      <w:r>
        <w:rPr>
          <w:rFonts w:hint="eastAsia" w:eastAsia="宋体"/>
          <w:sz w:val="20"/>
          <w:lang w:val="en-US" w:eastAsia="zh-CN"/>
        </w:rPr>
        <w:t xml:space="preserve"> cross-carrier scheduling. </w:t>
      </w:r>
    </w:p>
    <w:p>
      <w:pPr>
        <w:widowControl/>
        <w:spacing w:before="120" w:line="240" w:lineRule="auto"/>
        <w:jc w:val="both"/>
        <w:rPr>
          <w:b w:val="0"/>
          <w:bCs w:val="0"/>
          <w:lang w:val="en-GB"/>
        </w:rPr>
      </w:pPr>
      <w:r>
        <w:rPr>
          <w:rFonts w:hint="eastAsia" w:eastAsia="宋体"/>
          <w:b/>
          <w:bCs/>
          <w:lang w:val="en-US" w:eastAsia="zh-CN"/>
        </w:rPr>
        <w:t xml:space="preserve">Proposal 8: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FR1/FR2-1</w:t>
      </w:r>
      <w:r>
        <w:rPr>
          <w:b/>
          <w:bCs/>
          <w:lang w:val="en-GB"/>
        </w:rPr>
        <w:t xml:space="preserve"> is supported</w:t>
      </w:r>
      <w:r>
        <w:rPr>
          <w:rFonts w:hint="eastAsia" w:eastAsia="宋体"/>
          <w:b/>
          <w:bCs/>
          <w:lang w:val="en-US" w:eastAsia="zh-CN"/>
        </w:rPr>
        <w:t xml:space="preserve"> and a UE supporting 480 kHz and 960 kHz SCS supports cross-carrier scheduling</w:t>
      </w:r>
      <w:r>
        <w:rPr>
          <w:b/>
          <w:bCs/>
          <w:lang w:val="en-GB"/>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spacing w:line="260" w:lineRule="auto"/>
        <w:jc w:val="both"/>
        <w:rPr>
          <w:lang w:val="en-US" w:eastAsia="zh-CN"/>
        </w:rPr>
      </w:pPr>
      <w:r>
        <w:rPr>
          <w:rFonts w:hint="eastAsia"/>
          <w:lang w:val="en-US" w:eastAsia="zh-CN"/>
        </w:rPr>
        <w:t>In this contribution, we discuss PDCCH monitoring enhancements for NR above 52.6 GHz band operation and have the following proposals.</w:t>
      </w:r>
    </w:p>
    <w:p>
      <w:pPr>
        <w:numPr>
          <w:ilvl w:val="1"/>
          <w:numId w:val="0"/>
        </w:numPr>
        <w:snapToGrid w:val="0"/>
        <w:spacing w:before="180" w:after="180" w:line="260" w:lineRule="auto"/>
        <w:ind w:left="0" w:firstLine="0"/>
        <w:jc w:val="both"/>
        <w:rPr>
          <w:rFonts w:hint="eastAsia" w:eastAsia="宋体"/>
          <w:b/>
          <w:bCs/>
          <w:lang w:val="en-US" w:eastAsia="zh-CN"/>
        </w:rPr>
      </w:pPr>
      <w:r>
        <w:rPr>
          <w:rFonts w:hint="default" w:ascii="Times New Roman" w:hAnsi="Times New Roman" w:cs="Times New Roman"/>
          <w:b/>
          <w:bCs/>
          <w:i w:val="0"/>
          <w:lang w:val="en-US" w:eastAsia="zh-CN"/>
        </w:rPr>
        <w:t>Proposal 1:</w:t>
      </w:r>
      <w:r>
        <w:rPr>
          <w:rFonts w:hint="eastAsia" w:ascii="Cambria Math" w:hAnsi="Cambria Math"/>
          <w:b/>
          <w:bCs/>
          <w:i w:val="0"/>
          <w:lang w:val="en-US" w:eastAsia="zh-CN"/>
        </w:rPr>
        <w:t xml:space="preserve"> T</w:t>
      </w:r>
      <w:r>
        <w:rPr>
          <w:rFonts w:hint="eastAsia" w:eastAsia="宋体"/>
          <w:b/>
          <w:bCs/>
          <w:lang w:val="en-US" w:eastAsia="zh-CN"/>
        </w:rPr>
        <w:t>here is no need to i</w:t>
      </w:r>
      <w:r>
        <w:rPr>
          <w:rFonts w:hint="eastAsia"/>
          <w:b/>
          <w:bCs/>
          <w:i w:val="0"/>
          <w:sz w:val="20"/>
          <w:szCs w:val="22"/>
          <w:lang w:val="en-US" w:eastAsia="zh-CN"/>
        </w:rPr>
        <w:t xml:space="preserve">ntroduce </w:t>
      </w:r>
      <w:r>
        <w:rPr>
          <w:b/>
          <w:bCs/>
          <w:i/>
          <w:highlight w:val="none"/>
          <w:lang w:val="en-US"/>
        </w:rPr>
        <w:t>monitoringCapabilityConfig</w:t>
      </w:r>
      <w:r>
        <w:rPr>
          <w:b/>
          <w:bCs/>
          <w:szCs w:val="22"/>
          <w:highlight w:val="none"/>
        </w:rPr>
        <w:t xml:space="preserve"> </w:t>
      </w:r>
      <w:r>
        <w:rPr>
          <w:b/>
          <w:bCs/>
          <w:szCs w:val="22"/>
          <w:highlight w:val="none"/>
          <w:lang w:val="en-US"/>
        </w:rPr>
        <w:t>=</w:t>
      </w:r>
      <w:r>
        <w:rPr>
          <w:b/>
          <w:bCs/>
          <w:szCs w:val="22"/>
          <w:highlight w:val="none"/>
        </w:rPr>
        <w:t xml:space="preserve"> </w:t>
      </w:r>
      <w:r>
        <w:rPr>
          <w:b/>
          <w:bCs/>
          <w:i/>
          <w:highlight w:val="none"/>
        </w:rPr>
        <w:t>r1</w:t>
      </w:r>
      <w:r>
        <w:rPr>
          <w:b/>
          <w:bCs/>
          <w:i/>
          <w:highlight w:val="none"/>
          <w:lang w:val="en-US"/>
        </w:rPr>
        <w:t>7</w:t>
      </w:r>
      <w:r>
        <w:rPr>
          <w:b/>
          <w:bCs/>
          <w:i/>
          <w:highlight w:val="none"/>
        </w:rPr>
        <w:t>monitoringcapability</w:t>
      </w:r>
      <w:r>
        <w:rPr>
          <w:rFonts w:hint="eastAsia"/>
          <w:b/>
          <w:bCs/>
          <w:i/>
          <w:highlight w:val="none"/>
          <w:lang w:val="en-US" w:eastAsia="zh-CN"/>
        </w:rPr>
        <w:t xml:space="preserve"> </w:t>
      </w:r>
      <w:r>
        <w:rPr>
          <w:rFonts w:hint="eastAsia"/>
          <w:b/>
          <w:bCs/>
          <w:i w:val="0"/>
          <w:iCs/>
          <w:highlight w:val="none"/>
          <w:lang w:val="en-US" w:eastAsia="zh-CN"/>
        </w:rPr>
        <w:t xml:space="preserve">if per-slot </w:t>
      </w:r>
      <w:r>
        <w:rPr>
          <w:rFonts w:hint="default" w:ascii="Times New Roman" w:hAnsi="Times New Roman" w:cs="Times New Roman"/>
          <w:b/>
          <w:bCs/>
          <w:i w:val="0"/>
          <w:lang w:val="en-US" w:eastAsia="zh-CN"/>
        </w:rPr>
        <w:t>monitoring is not supported</w:t>
      </w:r>
      <w:r>
        <w:rPr>
          <w:rFonts w:hint="eastAsia" w:cs="Times New Roman"/>
          <w:b/>
          <w:bCs/>
          <w:i w:val="0"/>
          <w:lang w:val="en-US" w:eastAsia="zh-CN"/>
        </w:rPr>
        <w:t xml:space="preserve"> for SCS 480/960 kHz</w:t>
      </w:r>
      <w:r>
        <w:rPr>
          <w:rFonts w:hint="eastAsia" w:ascii="Cambria Math" w:hAnsi="Cambria Math"/>
          <w:b/>
          <w:bCs/>
          <w:i w:val="0"/>
          <w:lang w:val="en-US" w:eastAsia="zh-CN"/>
        </w:rPr>
        <w:t>.</w:t>
      </w:r>
    </w:p>
    <w:p>
      <w:pPr>
        <w:numPr>
          <w:ilvl w:val="1"/>
          <w:numId w:val="0"/>
        </w:numPr>
        <w:snapToGrid w:val="0"/>
        <w:spacing w:after="180" w:line="260" w:lineRule="auto"/>
        <w:ind w:left="0" w:firstLine="0"/>
        <w:jc w:val="both"/>
        <w:rPr>
          <w:rFonts w:hint="eastAsia" w:eastAsia="宋体"/>
          <w:b w:val="0"/>
          <w:bCs w:val="0"/>
          <w:lang w:val="en-US" w:eastAsia="zh-CN"/>
        </w:rPr>
      </w:pPr>
      <w:r>
        <w:rPr>
          <w:rFonts w:hint="eastAsia" w:eastAsia="宋体"/>
          <w:b/>
          <w:bCs/>
          <w:lang w:val="en-US" w:eastAsia="zh-CN"/>
        </w:rPr>
        <w:t xml:space="preserve">Proposal 2: Further clarification in TS 38.213: if a UE does not provide any monitoring capability 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ascii="Cambria Math" w:hAnsi="Cambria Math"/>
          <w:b/>
          <w:bCs/>
          <w:i w:val="0"/>
          <w:lang w:val="en-US" w:eastAsia="zh-CN"/>
        </w:rPr>
        <w:t xml:space="preserve"> </w:t>
      </w:r>
      <w:r>
        <w:rPr>
          <w:rFonts w:hint="default" w:ascii="Times New Roman" w:hAnsi="Times New Roman" w:cs="Times New Roman"/>
          <w:b/>
          <w:bCs/>
          <w:i w:val="0"/>
          <w:lang w:val="en-US" w:eastAsia="zh-CN"/>
        </w:rPr>
        <w:t>or</w:t>
      </w:r>
      <w:r>
        <w:rPr>
          <w:rFonts w:hint="eastAsia" w:ascii="Times New Roman" w:hAnsi="Times New Roman" w:cs="Times New Roman"/>
          <w:b/>
          <w:bCs/>
          <w:i w:val="0"/>
          <w:lang w:val="en-US" w:eastAsia="zh-CN"/>
        </w:rPr>
        <w:t xml:space="preserve"> if a</w:t>
      </w:r>
      <w:r>
        <w:rPr>
          <w:rFonts w:hint="default" w:ascii="Times New Roman" w:hAnsi="Times New Roman" w:cs="Times New Roman"/>
          <w:b/>
          <w:bCs/>
          <w:i w:val="0"/>
          <w:lang w:val="en-US" w:eastAsia="zh-CN"/>
        </w:rPr>
        <w:t xml:space="preserve"> UE </w:t>
      </w:r>
      <w:r>
        <w:rPr>
          <w:rFonts w:hint="eastAsia" w:ascii="Times New Roman" w:hAnsi="Times New Roman" w:cs="Times New Roman"/>
          <w:b/>
          <w:bCs/>
          <w:i w:val="0"/>
          <w:lang w:val="en-US" w:eastAsia="zh-CN"/>
        </w:rPr>
        <w:t xml:space="preserve">indicates a capability to monitor PDCCH according to more </w:t>
      </w:r>
      <w:r>
        <w:rPr>
          <w:rFonts w:hint="eastAsia" w:eastAsia="宋体"/>
          <w:b/>
          <w:bCs/>
          <w:lang w:val="en-US"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eastAsia="宋体"/>
          <w:b/>
          <w:bCs/>
          <w:lang w:val="en-US"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ctrlPr>
                  <w:rPr>
                    <w:rFonts w:ascii="Cambria Math" w:hAnsi="Cambria Math"/>
                    <w:b/>
                    <w:bCs/>
                    <w:i/>
                    <w:lang w:eastAsia="zh-CN"/>
                  </w:rPr>
                </m:ctrlPr>
              </m:e>
              <m:sub>
                <m:r>
                  <m:rPr>
                    <m:sty m:val="bi"/>
                  </m:rPr>
                  <w:rPr>
                    <w:rFonts w:ascii="Cambria Math" w:hAnsi="Cambria Math"/>
                    <w:lang w:eastAsia="zh-CN"/>
                  </w:rPr>
                  <m:t>s</m:t>
                </m:r>
                <m:ctrlPr>
                  <w:rPr>
                    <w:rFonts w:ascii="Cambria Math" w:hAnsi="Cambria Math"/>
                    <w:b/>
                    <w:bCs/>
                    <w:i/>
                    <w:lang w:eastAsia="zh-CN"/>
                  </w:rPr>
                </m:ctrlPr>
              </m:sub>
            </m:sSub>
            <m:ctrlPr>
              <w:rPr>
                <w:rFonts w:ascii="Cambria Math" w:hAnsi="Cambria Math"/>
                <w:b/>
                <w:bCs/>
                <w:lang w:eastAsia="zh-CN"/>
              </w:rPr>
            </m:ctrlPr>
          </m:e>
        </m:d>
      </m:oMath>
      <w:r>
        <w:rPr>
          <w:rFonts w:hint="eastAsia" w:ascii="Cambria Math" w:hAnsi="Cambria Math"/>
          <w:b/>
          <w:bCs/>
          <w:i w:val="0"/>
          <w:lang w:val="en-US" w:eastAsia="zh-CN"/>
        </w:rPr>
        <w:t xml:space="preserve"> =</w:t>
      </w:r>
      <w:r>
        <w:rPr>
          <w:rFonts w:hint="default" w:ascii="Times New Roman" w:hAnsi="Times New Roman" w:cs="Times New Roman"/>
          <w:b/>
          <w:bCs/>
          <w:i w:val="0"/>
          <w:lang w:val="en-US" w:eastAsia="zh-CN"/>
        </w:rPr>
        <w:t xml:space="preserve"> (4, 1) or (</w:t>
      </w:r>
      <w:r>
        <w:rPr>
          <w:rFonts w:hint="eastAsia" w:ascii="Times New Roman" w:hAnsi="Times New Roman" w:cs="Times New Roman"/>
          <w:b/>
          <w:bCs/>
          <w:i w:val="0"/>
          <w:lang w:val="en-US" w:eastAsia="zh-CN"/>
        </w:rPr>
        <w:t>8, 1) is mandatorily supported</w:t>
      </w:r>
      <w:r>
        <w:rPr>
          <w:rFonts w:hint="eastAsia" w:eastAsia="宋体"/>
          <w:b/>
          <w:bCs/>
          <w:lang w:val="en-US" w:eastAsia="zh-CN"/>
        </w:rPr>
        <w:t xml:space="preserve"> </w:t>
      </w:r>
      <w:r>
        <w:rPr>
          <w:rFonts w:hint="eastAsia" w:ascii="Times New Roman" w:hAnsi="Times New Roman" w:cs="Times New Roman"/>
          <w:b/>
          <w:bCs/>
          <w:i w:val="0"/>
          <w:lang w:val="en-US" w:eastAsia="zh-CN"/>
        </w:rPr>
        <w:t xml:space="preserve">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rFonts w:hint="eastAsia" w:ascii="Times New Roman" w:hAnsi="Times New Roman" w:cs="Times New Roman"/>
          <w:b/>
          <w:bCs/>
          <w:i w:val="0"/>
          <w:lang w:val="en-US" w:eastAsia="zh-CN"/>
        </w:rPr>
        <w:t xml:space="preserve"> </w:t>
      </w:r>
      <w:r>
        <w:rPr>
          <w:rFonts w:hint="eastAsia" w:cs="Times New Roman"/>
          <w:b/>
          <w:bCs/>
          <w:i w:val="0"/>
          <w:lang w:val="en-US" w:eastAsia="zh-CN"/>
        </w:rPr>
        <w:t>respectively if per-slot monitoring is not supported for SCS 480/960kHz</w:t>
      </w:r>
      <w:r>
        <w:rPr>
          <w:rFonts w:hint="eastAsia" w:ascii="Cambria Math" w:hAnsi="Cambria Math"/>
          <w:b/>
          <w:bCs/>
          <w:i w:val="0"/>
          <w:lang w:val="en-US" w:eastAsia="zh-CN"/>
        </w:rPr>
        <w:t>.</w:t>
      </w:r>
    </w:p>
    <w:p>
      <w:pPr>
        <w:numPr>
          <w:ilvl w:val="1"/>
          <w:numId w:val="0"/>
        </w:numPr>
        <w:snapToGrid w:val="0"/>
        <w:spacing w:after="180" w:line="260" w:lineRule="auto"/>
        <w:ind w:left="0" w:firstLine="0"/>
        <w:jc w:val="both"/>
        <w:rPr>
          <w:rFonts w:hint="eastAsia" w:eastAsia="宋体"/>
          <w:b/>
          <w:bCs/>
          <w:lang w:val="en-US" w:eastAsia="zh-CN"/>
        </w:rPr>
      </w:pPr>
      <w:r>
        <w:rPr>
          <w:rFonts w:hint="eastAsia" w:eastAsia="宋体"/>
          <w:b/>
          <w:bCs/>
          <w:lang w:val="en-US" w:eastAsia="zh-CN"/>
        </w:rPr>
        <w:t>Proposal 3: Confirm the working assumption: BD/CCE budget of 960 kHz for (4,2), (4,1) is half that of X=8.</w:t>
      </w:r>
    </w:p>
    <w:p>
      <w:pPr>
        <w:pStyle w:val="75"/>
        <w:rPr>
          <w:b/>
          <w:bCs w:val="0"/>
        </w:rPr>
      </w:pPr>
      <w:r>
        <w:rPr>
          <w:b/>
          <w:bCs w:val="0"/>
        </w:rPr>
        <w:t xml:space="preserve">Table 1: Maximum number </w:t>
      </w:r>
      <m:oMath>
        <m:sSubSup>
          <m:sSubSupPr>
            <m:ctrlPr>
              <w:rPr>
                <w:rFonts w:ascii="Cambria Math" w:hAnsi="Cambria Math"/>
                <w:b/>
                <w:bCs w:val="0"/>
                <w:i/>
                <w:sz w:val="20"/>
                <w:lang w:eastAsia="zh-CN"/>
              </w:rPr>
            </m:ctrlPr>
          </m:sSubSupPr>
          <m:e>
            <m:r>
              <w:rPr>
                <w:rFonts w:ascii="Cambria Math" w:hAnsi="Cambria Math"/>
                <w:lang w:eastAsia="zh-CN"/>
              </w:rPr>
              <m:t>M</m:t>
            </m:r>
            <m:ctrlPr>
              <w:rPr>
                <w:rFonts w:ascii="Cambria Math" w:hAnsi="Cambria Math"/>
                <w:b/>
                <w:bCs w:val="0"/>
                <w:i/>
                <w:sz w:val="20"/>
                <w:lang w:eastAsia="zh-CN"/>
              </w:rPr>
            </m:ctrlPr>
          </m:e>
          <m:sub>
            <m:r>
              <m:rPr>
                <m:sty m:val="b"/>
              </m:rPr>
              <w:rPr>
                <w:rFonts w:ascii="Cambria Math" w:hAnsi="Cambria Math"/>
                <w:lang w:eastAsia="zh-CN"/>
              </w:rPr>
              <m:t>PDCCH</m:t>
            </m:r>
            <m:ctrlPr>
              <w:rPr>
                <w:rFonts w:ascii="Cambria Math" w:hAnsi="Cambria Math"/>
                <w:b/>
                <w:bCs w:val="0"/>
                <w:i/>
                <w:sz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lang w:eastAsia="zh-CN"/>
              </w:rPr>
            </m:ctrlPr>
          </m:sup>
        </m:sSubSup>
      </m:oMath>
      <w:r>
        <w:rPr>
          <w:b/>
          <w:bCs w:val="0"/>
        </w:rPr>
        <w:t xml:space="preserve"> of monitored PDCCH candidates per </w:t>
      </w:r>
      <w:r>
        <w:rPr>
          <w:b/>
          <w:bCs w:val="0"/>
          <w:sz w:val="20"/>
          <w:szCs w:val="20"/>
        </w:rPr>
        <w:t xml:space="preserve">slot group for 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rPr>
        <w:t xml:space="preserve"> for a DL BWP with SCS configuration </w:t>
      </w:r>
      <m:oMath>
        <m:r>
          <w:rPr>
            <w:rFonts w:ascii="Cambria Math" w:hAnsi="Cambria Math"/>
            <w:lang w:eastAsia="zh-CN"/>
          </w:rPr>
          <m:t>μ∈</m:t>
        </m:r>
        <m:d>
          <m:dPr>
            <m:begChr m:val="{"/>
            <m:endChr m:val="}"/>
            <m:ctrlPr>
              <w:rPr>
                <w:rFonts w:ascii="Cambria Math" w:hAnsi="Cambria Math"/>
                <w:b/>
                <w:bCs w:val="0"/>
                <w:i/>
                <w:sz w:val="20"/>
                <w:szCs w:val="20"/>
                <w:lang w:eastAsia="zh-CN"/>
              </w:rPr>
            </m:ctrlPr>
          </m:dPr>
          <m:e>
            <m:r>
              <w:rPr>
                <w:rFonts w:ascii="Cambria Math" w:hAnsi="Cambria Math"/>
                <w:lang w:eastAsia="zh-CN"/>
              </w:rPr>
              <m:t>5, 6</m:t>
            </m:r>
            <m:ctrlPr>
              <w:rPr>
                <w:rFonts w:ascii="Cambria Math" w:hAnsi="Cambria Math"/>
                <w:b/>
                <w:bCs w:val="0"/>
                <w:i/>
                <w:sz w:val="20"/>
                <w:szCs w:val="20"/>
                <w:lang w:eastAsia="zh-CN"/>
              </w:rPr>
            </m:ctrlPr>
          </m:e>
        </m:d>
      </m:oMath>
      <w:r>
        <w:rPr>
          <w:b/>
          <w:bCs w:val="0"/>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7"/>
              <w:rPr>
                <w:rFonts w:ascii="Times New Roman" w:hAnsi="Times New Roman"/>
                <w:b/>
                <w:bCs w:val="0"/>
                <w:sz w:val="20"/>
              </w:rPr>
            </w:pPr>
          </w:p>
        </w:tc>
        <w:tc>
          <w:tcPr>
            <w:tcW w:w="5861" w:type="dxa"/>
            <w:gridSpan w:val="4"/>
            <w:shd w:val="clear" w:color="auto" w:fill="E0E0E0"/>
            <w:vAlign w:val="center"/>
          </w:tcPr>
          <w:p>
            <w:pPr>
              <w:pStyle w:val="75"/>
              <w:spacing w:before="0" w:after="0"/>
              <w:rPr>
                <w:b/>
                <w:bCs w:val="0"/>
                <w:sz w:val="20"/>
                <w:szCs w:val="20"/>
              </w:rPr>
            </w:pPr>
            <w:r>
              <w:rPr>
                <w:b/>
                <w:bCs w:val="0"/>
                <w:sz w:val="20"/>
                <w:szCs w:val="20"/>
              </w:rPr>
              <w:t xml:space="preserve">Maximum number </w:t>
            </w:r>
            <m:oMath>
              <m:sSubSup>
                <m:sSubSupPr>
                  <m:ctrlPr>
                    <w:rPr>
                      <w:rFonts w:ascii="Cambria Math" w:hAnsi="Cambria Math"/>
                      <w:b/>
                      <w:bCs w:val="0"/>
                      <w:i/>
                      <w:sz w:val="20"/>
                      <w:szCs w:val="20"/>
                      <w:lang w:eastAsia="zh-CN"/>
                    </w:rPr>
                  </m:ctrlPr>
                </m:sSubSupPr>
                <m:e>
                  <m:r>
                    <w:rPr>
                      <w:rFonts w:ascii="Cambria Math" w:hAnsi="Cambria Math"/>
                      <w:sz w:val="20"/>
                      <w:szCs w:val="20"/>
                      <w:lang w:eastAsia="zh-CN"/>
                    </w:rPr>
                    <m:t>M</m:t>
                  </m:r>
                  <m:ctrlPr>
                    <w:rPr>
                      <w:rFonts w:ascii="Cambria Math" w:hAnsi="Cambria Math"/>
                      <w:b/>
                      <w:bCs w:val="0"/>
                      <w:i/>
                      <w:sz w:val="20"/>
                      <w:szCs w:val="20"/>
                      <w:lang w:eastAsia="zh-CN"/>
                    </w:rPr>
                  </m:ctrlPr>
                </m:e>
                <m:sub>
                  <m:r>
                    <m:rPr>
                      <m:sty m:val="b"/>
                    </m:rPr>
                    <w:rPr>
                      <w:rFonts w:ascii="Cambria Math" w:hAnsi="Cambria Math"/>
                      <w:sz w:val="20"/>
                      <w:szCs w:val="20"/>
                      <w:lang w:eastAsia="zh-CN"/>
                    </w:rPr>
                    <m:t>PDCCH</m:t>
                  </m:r>
                  <m:ctrlPr>
                    <w:rPr>
                      <w:rFonts w:ascii="Cambria Math" w:hAnsi="Cambria Math"/>
                      <w:b/>
                      <w:bCs w:val="0"/>
                      <w:i/>
                      <w:sz w:val="20"/>
                      <w:szCs w:val="20"/>
                      <w:lang w:eastAsia="zh-CN"/>
                    </w:rPr>
                  </m:ctrlPr>
                </m:sub>
                <m:sup>
                  <m:r>
                    <w:rPr>
                      <w:rFonts w:ascii="Cambria Math" w:hAnsi="Cambria Math"/>
                      <w:sz w:val="20"/>
                      <w:szCs w:val="20"/>
                      <w:lang w:eastAsia="zh-CN"/>
                    </w:rPr>
                    <m:t>max,</m:t>
                  </m:r>
                  <m:d>
                    <m:dPr>
                      <m:ctrlPr>
                        <w:rPr>
                          <w:rFonts w:ascii="Cambria Math" w:hAnsi="Cambria Math"/>
                          <w:b/>
                          <w:bCs w:val="0"/>
                          <w:i/>
                          <w:sz w:val="20"/>
                          <w:szCs w:val="20"/>
                          <w:lang w:eastAsia="zh-CN"/>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sz w:val="20"/>
                          <w:szCs w:val="20"/>
                          <w:lang w:eastAsia="zh-CN"/>
                        </w:rPr>
                      </m:ctrlPr>
                    </m:e>
                  </m:d>
                  <m:r>
                    <w:rPr>
                      <w:rFonts w:ascii="Cambria Math" w:hAnsi="Cambria Math"/>
                      <w:sz w:val="20"/>
                      <w:szCs w:val="20"/>
                      <w:lang w:eastAsia="zh-CN"/>
                    </w:rPr>
                    <m:t>,μ</m:t>
                  </m:r>
                  <m:ctrlPr>
                    <w:rPr>
                      <w:rFonts w:ascii="Cambria Math" w:hAnsi="Cambria Math"/>
                      <w:b/>
                      <w:bCs w:val="0"/>
                      <w:i/>
                      <w:sz w:val="20"/>
                      <w:szCs w:val="20"/>
                      <w:lang w:eastAsia="zh-CN"/>
                    </w:rPr>
                  </m:ctrlPr>
                </m:sup>
              </m:sSubSup>
            </m:oMath>
            <w:r>
              <w:rPr>
                <w:b/>
                <w:bCs w:val="0"/>
                <w:sz w:val="20"/>
                <w:szCs w:val="20"/>
                <w:lang w:eastAsia="zh-CN"/>
              </w:rPr>
              <w:t xml:space="preserve"> </w:t>
            </w:r>
            <w:r>
              <w:rPr>
                <w:b/>
                <w:bCs w:val="0"/>
                <w:sz w:val="20"/>
                <w:szCs w:val="20"/>
              </w:rPr>
              <w:t xml:space="preserve">of monitored PDCCH candidates per </w:t>
            </w:r>
            <w:r>
              <w:rPr>
                <w:b/>
                <w:bCs w:val="0"/>
              </w:rPr>
              <w:t xml:space="preserve">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sz w:val="20"/>
                <w:szCs w:val="20"/>
              </w:rPr>
              <w:t xml:space="preserve"> and per serving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
                <w:bCs w:val="0"/>
                <w:sz w:val="20"/>
              </w:rPr>
            </w:pPr>
            <m:oMathPara>
              <m:oMath>
                <m:r>
                  <m:rPr>
                    <m:sty m:val="bi"/>
                  </m:rPr>
                  <w:rPr>
                    <w:rFonts w:ascii="Cambria Math" w:hAnsi="Cambria Math"/>
                    <w:sz w:val="20"/>
                    <w:lang w:eastAsia="zh-CN"/>
                  </w:rPr>
                  <m:t>μ</m:t>
                </m:r>
              </m:oMath>
            </m:oMathPara>
          </w:p>
        </w:tc>
        <w:tc>
          <w:tcPr>
            <w:tcW w:w="1451" w:type="dxa"/>
            <w:vAlign w:val="center"/>
          </w:tcPr>
          <w:p>
            <w:pPr>
              <w:pStyle w:val="48"/>
              <w:rPr>
                <w:b/>
                <w:bCs w:val="0"/>
                <w:sz w:val="20"/>
              </w:rPr>
            </w:pPr>
            <w:r>
              <w:rPr>
                <w:b/>
                <w:bCs w:val="0"/>
                <w:sz w:val="20"/>
              </w:rPr>
              <w:t>(4, 1)</w:t>
            </w:r>
          </w:p>
        </w:tc>
        <w:tc>
          <w:tcPr>
            <w:tcW w:w="1530" w:type="dxa"/>
          </w:tcPr>
          <w:p>
            <w:pPr>
              <w:pStyle w:val="48"/>
              <w:rPr>
                <w:b/>
                <w:bCs w:val="0"/>
                <w:sz w:val="20"/>
              </w:rPr>
            </w:pPr>
            <w:r>
              <w:rPr>
                <w:b/>
                <w:bCs w:val="0"/>
                <w:sz w:val="20"/>
              </w:rPr>
              <w:t>(4, 2)</w:t>
            </w:r>
          </w:p>
        </w:tc>
        <w:tc>
          <w:tcPr>
            <w:tcW w:w="1440" w:type="dxa"/>
          </w:tcPr>
          <w:p>
            <w:pPr>
              <w:pStyle w:val="48"/>
              <w:rPr>
                <w:b/>
                <w:bCs w:val="0"/>
                <w:sz w:val="20"/>
              </w:rPr>
            </w:pPr>
            <w:r>
              <w:rPr>
                <w:b/>
                <w:bCs w:val="0"/>
                <w:sz w:val="20"/>
              </w:rPr>
              <w:t>(8, 1)</w:t>
            </w:r>
          </w:p>
        </w:tc>
        <w:tc>
          <w:tcPr>
            <w:tcW w:w="1440" w:type="dxa"/>
          </w:tcPr>
          <w:p>
            <w:pPr>
              <w:pStyle w:val="48"/>
              <w:rPr>
                <w:b/>
                <w:bCs w:val="0"/>
                <w:sz w:val="20"/>
              </w:rPr>
            </w:pPr>
            <w:r>
              <w:rPr>
                <w:b/>
                <w:bCs w:val="0"/>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5</w:t>
            </w:r>
          </w:p>
        </w:tc>
        <w:tc>
          <w:tcPr>
            <w:tcW w:w="1451" w:type="dxa"/>
            <w:vAlign w:val="center"/>
          </w:tcPr>
          <w:p>
            <w:pPr>
              <w:pStyle w:val="48"/>
              <w:rPr>
                <w:b/>
                <w:bCs w:val="0"/>
                <w:sz w:val="20"/>
              </w:rPr>
            </w:pPr>
            <w:r>
              <w:rPr>
                <w:b/>
                <w:bCs w:val="0"/>
                <w:sz w:val="20"/>
              </w:rPr>
              <w:t>20</w:t>
            </w:r>
          </w:p>
        </w:tc>
        <w:tc>
          <w:tcPr>
            <w:tcW w:w="1530" w:type="dxa"/>
          </w:tcPr>
          <w:p>
            <w:pPr>
              <w:pStyle w:val="48"/>
              <w:rPr>
                <w:b/>
                <w:bCs w:val="0"/>
                <w:sz w:val="20"/>
              </w:rPr>
            </w:pPr>
            <w:r>
              <w:rPr>
                <w:b/>
                <w:bCs w:val="0"/>
                <w:sz w:val="20"/>
              </w:rPr>
              <w:t>20</w:t>
            </w:r>
          </w:p>
        </w:tc>
        <w:tc>
          <w:tcPr>
            <w:tcW w:w="1440" w:type="dxa"/>
          </w:tcPr>
          <w:p>
            <w:pPr>
              <w:pStyle w:val="48"/>
              <w:rPr>
                <w:b/>
                <w:bCs w:val="0"/>
                <w:sz w:val="20"/>
              </w:rPr>
            </w:pPr>
            <w:r>
              <w:rPr>
                <w:b/>
                <w:bCs w:val="0"/>
                <w:sz w:val="20"/>
              </w:rPr>
              <w:t>-</w:t>
            </w:r>
          </w:p>
        </w:tc>
        <w:tc>
          <w:tcPr>
            <w:tcW w:w="1440" w:type="dxa"/>
          </w:tcPr>
          <w:p>
            <w:pPr>
              <w:pStyle w:val="48"/>
              <w:rPr>
                <w:b/>
                <w:bCs w:val="0"/>
                <w:sz w:val="20"/>
              </w:rPr>
            </w:pPr>
            <w:r>
              <w:rPr>
                <w:b/>
                <w:bCs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6</w:t>
            </w:r>
          </w:p>
        </w:tc>
        <w:tc>
          <w:tcPr>
            <w:tcW w:w="1451" w:type="dxa"/>
            <w:vAlign w:val="center"/>
          </w:tcPr>
          <w:p>
            <w:pPr>
              <w:pStyle w:val="48"/>
              <w:rPr>
                <w:b/>
                <w:bCs w:val="0"/>
                <w:color w:val="auto"/>
                <w:sz w:val="20"/>
              </w:rPr>
            </w:pPr>
            <w:r>
              <w:rPr>
                <w:b/>
                <w:bCs w:val="0"/>
                <w:color w:val="auto"/>
                <w:sz w:val="20"/>
              </w:rPr>
              <w:t>10</w:t>
            </w:r>
          </w:p>
        </w:tc>
        <w:tc>
          <w:tcPr>
            <w:tcW w:w="1530" w:type="dxa"/>
          </w:tcPr>
          <w:p>
            <w:pPr>
              <w:pStyle w:val="48"/>
              <w:rPr>
                <w:b/>
                <w:bCs w:val="0"/>
                <w:color w:val="auto"/>
                <w:sz w:val="20"/>
              </w:rPr>
            </w:pPr>
            <w:r>
              <w:rPr>
                <w:b/>
                <w:bCs w:val="0"/>
                <w:color w:val="auto"/>
                <w:sz w:val="20"/>
              </w:rPr>
              <w:t>10</w:t>
            </w:r>
          </w:p>
        </w:tc>
        <w:tc>
          <w:tcPr>
            <w:tcW w:w="1440" w:type="dxa"/>
          </w:tcPr>
          <w:p>
            <w:pPr>
              <w:pStyle w:val="48"/>
              <w:rPr>
                <w:b/>
                <w:bCs w:val="0"/>
                <w:sz w:val="20"/>
              </w:rPr>
            </w:pPr>
            <w:r>
              <w:rPr>
                <w:b/>
                <w:bCs w:val="0"/>
                <w:sz w:val="20"/>
              </w:rPr>
              <w:t>20</w:t>
            </w:r>
          </w:p>
        </w:tc>
        <w:tc>
          <w:tcPr>
            <w:tcW w:w="1440" w:type="dxa"/>
          </w:tcPr>
          <w:p>
            <w:pPr>
              <w:pStyle w:val="48"/>
              <w:rPr>
                <w:b/>
                <w:bCs w:val="0"/>
                <w:sz w:val="20"/>
              </w:rPr>
            </w:pPr>
            <w:r>
              <w:rPr>
                <w:b/>
                <w:bCs w:val="0"/>
                <w:sz w:val="20"/>
              </w:rPr>
              <w:t>20</w:t>
            </w:r>
          </w:p>
        </w:tc>
      </w:tr>
    </w:tbl>
    <w:p>
      <w:pPr>
        <w:numPr>
          <w:ilvl w:val="1"/>
          <w:numId w:val="0"/>
        </w:numPr>
        <w:snapToGrid w:val="0"/>
        <w:spacing w:after="240" w:line="260" w:lineRule="auto"/>
        <w:ind w:left="0" w:firstLine="0"/>
        <w:jc w:val="both"/>
        <w:rPr>
          <w:rFonts w:hint="eastAsia" w:eastAsia="宋体"/>
          <w:b/>
          <w:bCs w:val="0"/>
          <w:lang w:val="en-US" w:eastAsia="zh-CN"/>
        </w:rPr>
      </w:pPr>
    </w:p>
    <w:p>
      <w:pPr>
        <w:pStyle w:val="75"/>
        <w:rPr>
          <w:b/>
          <w:bCs w:val="0"/>
        </w:rPr>
      </w:pPr>
      <w:r>
        <w:rPr>
          <w:b/>
          <w:bCs w:val="0"/>
        </w:rPr>
        <w:t xml:space="preserve">Table </w:t>
      </w:r>
      <w:r>
        <w:rPr>
          <w:rFonts w:hint="eastAsia"/>
          <w:b/>
          <w:bCs w:val="0"/>
          <w:lang w:val="en-US" w:eastAsia="zh-CN"/>
        </w:rPr>
        <w:t>2</w:t>
      </w:r>
      <w:r>
        <w:rPr>
          <w:b/>
          <w:bCs w:val="0"/>
        </w:rPr>
        <w:t xml:space="preserve">: Maximum number </w:t>
      </w:r>
      <m:oMath>
        <m:sSubSup>
          <m:sSubSupPr>
            <m:ctrlPr>
              <w:rPr>
                <w:rFonts w:ascii="Cambria Math" w:hAnsi="Cambria Math"/>
                <w:b/>
                <w:bCs w:val="0"/>
                <w:i/>
                <w:sz w:val="20"/>
                <w:lang w:eastAsia="zh-CN"/>
              </w:rPr>
            </m:ctrlPr>
          </m:sSubSupPr>
          <m:e>
            <m:r>
              <w:rPr>
                <w:rFonts w:ascii="Cambria Math" w:hAnsi="Cambria Math"/>
                <w:lang w:eastAsia="zh-CN"/>
              </w:rPr>
              <m:t>C</m:t>
            </m:r>
            <m:ctrlPr>
              <w:rPr>
                <w:rFonts w:ascii="Cambria Math" w:hAnsi="Cambria Math"/>
                <w:b/>
                <w:bCs w:val="0"/>
                <w:i/>
                <w:sz w:val="20"/>
                <w:lang w:eastAsia="zh-CN"/>
              </w:rPr>
            </m:ctrlPr>
          </m:e>
          <m:sub>
            <m:r>
              <m:rPr>
                <m:sty m:val="b"/>
              </m:rPr>
              <w:rPr>
                <w:rFonts w:ascii="Cambria Math" w:hAnsi="Cambria Math"/>
                <w:lang w:eastAsia="zh-CN"/>
              </w:rPr>
              <m:t>PDCCH</m:t>
            </m:r>
            <m:ctrlPr>
              <w:rPr>
                <w:rFonts w:ascii="Cambria Math" w:hAnsi="Cambria Math"/>
                <w:b/>
                <w:bCs w:val="0"/>
                <w:i/>
                <w:sz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lang w:eastAsia="zh-CN"/>
              </w:rPr>
            </m:ctrlPr>
          </m:sup>
        </m:sSubSup>
      </m:oMath>
      <w:r>
        <w:rPr>
          <w:b/>
          <w:bCs w:val="0"/>
        </w:rPr>
        <w:t xml:space="preserve"> of non-overlapped CCEs in a slot group for 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rPr>
        <w:t xml:space="preserve"> for a DL BWP with SCS configuration </w:t>
      </w:r>
      <m:oMath>
        <m:r>
          <w:rPr>
            <w:rFonts w:ascii="Cambria Math" w:hAnsi="Cambria Math"/>
            <w:lang w:eastAsia="zh-CN"/>
          </w:rPr>
          <m:t>μ∈</m:t>
        </m:r>
        <m:d>
          <m:dPr>
            <m:begChr m:val="{"/>
            <m:endChr m:val="}"/>
            <m:ctrlPr>
              <w:rPr>
                <w:rFonts w:ascii="Cambria Math" w:hAnsi="Cambria Math"/>
                <w:b/>
                <w:bCs w:val="0"/>
                <w:i/>
                <w:sz w:val="20"/>
                <w:szCs w:val="20"/>
                <w:lang w:eastAsia="zh-CN"/>
              </w:rPr>
            </m:ctrlPr>
          </m:dPr>
          <m:e>
            <m:r>
              <w:rPr>
                <w:rFonts w:ascii="Cambria Math" w:hAnsi="Cambria Math"/>
                <w:lang w:eastAsia="zh-CN"/>
              </w:rPr>
              <m:t>5, 6</m:t>
            </m:r>
            <m:ctrlPr>
              <w:rPr>
                <w:rFonts w:ascii="Cambria Math" w:hAnsi="Cambria Math"/>
                <w:b/>
                <w:bCs w:val="0"/>
                <w:i/>
                <w:sz w:val="20"/>
                <w:szCs w:val="20"/>
                <w:lang w:eastAsia="zh-CN"/>
              </w:rPr>
            </m:ctrlPr>
          </m:e>
        </m:d>
      </m:oMath>
      <w:r>
        <w:rPr>
          <w:b/>
          <w:bCs w:val="0"/>
        </w:rPr>
        <w:t xml:space="preserve"> for a single serving cell</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4"/>
        <w:gridCol w:w="1451"/>
        <w:gridCol w:w="1530"/>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7"/>
              <w:rPr>
                <w:rFonts w:ascii="Times New Roman" w:hAnsi="Times New Roman"/>
                <w:b/>
                <w:bCs w:val="0"/>
                <w:sz w:val="20"/>
              </w:rPr>
            </w:pPr>
          </w:p>
        </w:tc>
        <w:tc>
          <w:tcPr>
            <w:tcW w:w="5861" w:type="dxa"/>
            <w:gridSpan w:val="4"/>
            <w:shd w:val="clear" w:color="auto" w:fill="E0E0E0"/>
            <w:vAlign w:val="center"/>
          </w:tcPr>
          <w:p>
            <w:pPr>
              <w:pStyle w:val="75"/>
              <w:spacing w:before="0" w:after="0"/>
              <w:rPr>
                <w:b/>
                <w:bCs w:val="0"/>
                <w:sz w:val="20"/>
                <w:szCs w:val="20"/>
              </w:rPr>
            </w:pPr>
            <w:r>
              <w:rPr>
                <w:b/>
                <w:bCs w:val="0"/>
                <w:sz w:val="20"/>
                <w:szCs w:val="20"/>
              </w:rPr>
              <w:t xml:space="preserve">Maximum number of non-overlapped CCEs per </w:t>
            </w:r>
            <w:r>
              <w:rPr>
                <w:b/>
                <w:bCs w:val="0"/>
              </w:rPr>
              <w:t xml:space="preserve">combination </w:t>
            </w:r>
            <m:oMath>
              <m:d>
                <m:dPr>
                  <m:ctrlPr>
                    <w:rPr>
                      <w:rFonts w:ascii="Cambria Math" w:hAnsi="Cambria Math"/>
                      <w:b/>
                      <w:bCs w:val="0"/>
                      <w:i/>
                    </w:rPr>
                  </m:ctrlPr>
                </m:dPr>
                <m:e>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ctrlPr>
                    <w:rPr>
                      <w:rFonts w:ascii="Cambria Math" w:hAnsi="Cambria Math"/>
                      <w:b/>
                      <w:bCs w:val="0"/>
                      <w:i/>
                    </w:rPr>
                  </m:ctrlPr>
                </m:e>
              </m:d>
            </m:oMath>
            <w:r>
              <w:rPr>
                <w:b/>
                <w:bCs w:val="0"/>
                <w:sz w:val="20"/>
                <w:szCs w:val="20"/>
              </w:rPr>
              <w:t xml:space="preserve"> and per serving cell </w:t>
            </w:r>
            <m:oMath>
              <m:sSubSup>
                <m:sSubSupPr>
                  <m:ctrlPr>
                    <w:rPr>
                      <w:rFonts w:ascii="Cambria Math" w:hAnsi="Cambria Math"/>
                      <w:b/>
                      <w:bCs w:val="0"/>
                      <w:i/>
                      <w:sz w:val="20"/>
                      <w:szCs w:val="20"/>
                      <w:lang w:eastAsia="zh-CN"/>
                    </w:rPr>
                  </m:ctrlPr>
                </m:sSubSupPr>
                <m:e>
                  <m:r>
                    <w:rPr>
                      <w:rFonts w:ascii="Cambria Math" w:hAnsi="Cambria Math"/>
                      <w:sz w:val="20"/>
                      <w:szCs w:val="20"/>
                      <w:lang w:eastAsia="zh-CN"/>
                    </w:rPr>
                    <m:t>C</m:t>
                  </m:r>
                  <m:ctrlPr>
                    <w:rPr>
                      <w:rFonts w:ascii="Cambria Math" w:hAnsi="Cambria Math"/>
                      <w:b/>
                      <w:bCs w:val="0"/>
                      <w:i/>
                      <w:sz w:val="20"/>
                      <w:szCs w:val="20"/>
                      <w:lang w:eastAsia="zh-CN"/>
                    </w:rPr>
                  </m:ctrlPr>
                </m:e>
                <m:sub>
                  <m:r>
                    <m:rPr>
                      <m:sty m:val="b"/>
                    </m:rPr>
                    <w:rPr>
                      <w:rFonts w:ascii="Cambria Math" w:hAnsi="Cambria Math"/>
                      <w:sz w:val="20"/>
                      <w:szCs w:val="20"/>
                      <w:lang w:eastAsia="zh-CN"/>
                    </w:rPr>
                    <m:t>PDCCH</m:t>
                  </m:r>
                  <m:ctrlPr>
                    <w:rPr>
                      <w:rFonts w:ascii="Cambria Math" w:hAnsi="Cambria Math"/>
                      <w:b/>
                      <w:bCs w:val="0"/>
                      <w:i/>
                      <w:sz w:val="20"/>
                      <w:szCs w:val="20"/>
                      <w:lang w:eastAsia="zh-CN"/>
                    </w:rPr>
                  </m:ctrlPr>
                </m:sub>
                <m:sup>
                  <m:r>
                    <w:rPr>
                      <w:rFonts w:ascii="Cambria Math" w:hAnsi="Cambria Math"/>
                      <w:lang w:eastAsia="zh-CN"/>
                    </w:rPr>
                    <m:t>max,(</m:t>
                  </m:r>
                  <m:sSub>
                    <m:sSubPr>
                      <m:ctrlPr>
                        <w:rPr>
                          <w:rFonts w:ascii="Cambria Math" w:hAnsi="Cambria Math"/>
                          <w:b/>
                          <w:bCs w:val="0"/>
                          <w:i/>
                          <w:lang w:eastAsia="zh-CN"/>
                        </w:rPr>
                      </m:ctrlPr>
                    </m:sSubPr>
                    <m:e>
                      <m:r>
                        <w:rPr>
                          <w:rFonts w:ascii="Cambria Math" w:hAnsi="Cambria Math"/>
                          <w:lang w:eastAsia="zh-CN"/>
                        </w:rPr>
                        <m:t>X</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m:t>
                  </m:r>
                  <m:sSub>
                    <m:sSubPr>
                      <m:ctrlPr>
                        <w:rPr>
                          <w:rFonts w:ascii="Cambria Math" w:hAnsi="Cambria Math"/>
                          <w:b/>
                          <w:bCs w:val="0"/>
                          <w:i/>
                          <w:lang w:eastAsia="zh-CN"/>
                        </w:rPr>
                      </m:ctrlPr>
                    </m:sSubPr>
                    <m:e>
                      <m:r>
                        <w:rPr>
                          <w:rFonts w:ascii="Cambria Math" w:hAnsi="Cambria Math"/>
                          <w:lang w:eastAsia="zh-CN"/>
                        </w:rPr>
                        <m:t>Y</m:t>
                      </m:r>
                      <m:ctrlPr>
                        <w:rPr>
                          <w:rFonts w:ascii="Cambria Math" w:hAnsi="Cambria Math"/>
                          <w:b/>
                          <w:bCs w:val="0"/>
                          <w:i/>
                          <w:lang w:eastAsia="zh-CN"/>
                        </w:rPr>
                      </m:ctrlPr>
                    </m:e>
                    <m:sub>
                      <m:r>
                        <w:rPr>
                          <w:rFonts w:ascii="Cambria Math" w:hAnsi="Cambria Math"/>
                          <w:lang w:eastAsia="zh-CN"/>
                        </w:rPr>
                        <m:t>s</m:t>
                      </m:r>
                      <m:ctrlPr>
                        <w:rPr>
                          <w:rFonts w:ascii="Cambria Math" w:hAnsi="Cambria Math"/>
                          <w:b/>
                          <w:bCs w:val="0"/>
                          <w:i/>
                          <w:lang w:eastAsia="zh-CN"/>
                        </w:rPr>
                      </m:ctrlPr>
                    </m:sub>
                  </m:sSub>
                  <m:r>
                    <w:rPr>
                      <w:rFonts w:ascii="Cambria Math" w:hAnsi="Cambria Math"/>
                      <w:lang w:eastAsia="zh-CN"/>
                    </w:rPr>
                    <m:t>),μ</m:t>
                  </m:r>
                  <m:ctrlPr>
                    <w:rPr>
                      <w:rFonts w:ascii="Cambria Math" w:hAnsi="Cambria Math"/>
                      <w:b/>
                      <w:bCs w:val="0"/>
                      <w:i/>
                      <w:sz w:val="20"/>
                      <w:szCs w:val="20"/>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shd w:val="clear" w:color="auto" w:fill="E0E0E0"/>
            <w:vAlign w:val="center"/>
          </w:tcPr>
          <w:p>
            <w:pPr>
              <w:pStyle w:val="48"/>
              <w:rPr>
                <w:b/>
                <w:bCs w:val="0"/>
                <w:sz w:val="20"/>
              </w:rPr>
            </w:pPr>
            <m:oMathPara>
              <m:oMath>
                <m:r>
                  <m:rPr>
                    <m:sty m:val="bi"/>
                  </m:rPr>
                  <w:rPr>
                    <w:rFonts w:ascii="Cambria Math" w:hAnsi="Cambria Math"/>
                    <w:sz w:val="20"/>
                    <w:lang w:eastAsia="zh-CN"/>
                  </w:rPr>
                  <m:t>μ</m:t>
                </m:r>
              </m:oMath>
            </m:oMathPara>
          </w:p>
        </w:tc>
        <w:tc>
          <w:tcPr>
            <w:tcW w:w="1451" w:type="dxa"/>
            <w:vAlign w:val="center"/>
          </w:tcPr>
          <w:p>
            <w:pPr>
              <w:pStyle w:val="48"/>
              <w:rPr>
                <w:b/>
                <w:bCs w:val="0"/>
                <w:sz w:val="20"/>
              </w:rPr>
            </w:pPr>
            <w:r>
              <w:rPr>
                <w:b/>
                <w:bCs w:val="0"/>
                <w:sz w:val="20"/>
              </w:rPr>
              <w:t>(4, 1)</w:t>
            </w:r>
          </w:p>
        </w:tc>
        <w:tc>
          <w:tcPr>
            <w:tcW w:w="1530" w:type="dxa"/>
          </w:tcPr>
          <w:p>
            <w:pPr>
              <w:pStyle w:val="48"/>
              <w:rPr>
                <w:b/>
                <w:bCs w:val="0"/>
                <w:sz w:val="20"/>
              </w:rPr>
            </w:pPr>
            <w:r>
              <w:rPr>
                <w:b/>
                <w:bCs w:val="0"/>
                <w:sz w:val="20"/>
              </w:rPr>
              <w:t>(4, 2)</w:t>
            </w:r>
          </w:p>
        </w:tc>
        <w:tc>
          <w:tcPr>
            <w:tcW w:w="1440" w:type="dxa"/>
          </w:tcPr>
          <w:p>
            <w:pPr>
              <w:pStyle w:val="48"/>
              <w:rPr>
                <w:b/>
                <w:bCs w:val="0"/>
                <w:sz w:val="20"/>
              </w:rPr>
            </w:pPr>
            <w:r>
              <w:rPr>
                <w:b/>
                <w:bCs w:val="0"/>
                <w:sz w:val="20"/>
              </w:rPr>
              <w:t>(8, 1)</w:t>
            </w:r>
          </w:p>
        </w:tc>
        <w:tc>
          <w:tcPr>
            <w:tcW w:w="1440" w:type="dxa"/>
          </w:tcPr>
          <w:p>
            <w:pPr>
              <w:pStyle w:val="48"/>
              <w:rPr>
                <w:b/>
                <w:bCs w:val="0"/>
                <w:sz w:val="20"/>
              </w:rPr>
            </w:pPr>
            <w:r>
              <w:rPr>
                <w:b/>
                <w:bCs w:val="0"/>
                <w:sz w:val="20"/>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5</w:t>
            </w:r>
          </w:p>
        </w:tc>
        <w:tc>
          <w:tcPr>
            <w:tcW w:w="1451" w:type="dxa"/>
          </w:tcPr>
          <w:p>
            <w:pPr>
              <w:pStyle w:val="48"/>
              <w:rPr>
                <w:b/>
                <w:bCs w:val="0"/>
                <w:sz w:val="20"/>
              </w:rPr>
            </w:pPr>
            <w:r>
              <w:rPr>
                <w:b/>
                <w:bCs w:val="0"/>
                <w:sz w:val="20"/>
              </w:rPr>
              <w:t>32</w:t>
            </w:r>
          </w:p>
        </w:tc>
        <w:tc>
          <w:tcPr>
            <w:tcW w:w="1530" w:type="dxa"/>
          </w:tcPr>
          <w:p>
            <w:pPr>
              <w:pStyle w:val="48"/>
              <w:rPr>
                <w:b/>
                <w:bCs w:val="0"/>
                <w:sz w:val="20"/>
              </w:rPr>
            </w:pPr>
            <w:r>
              <w:rPr>
                <w:b/>
                <w:bCs w:val="0"/>
                <w:sz w:val="20"/>
              </w:rPr>
              <w:t>32</w:t>
            </w:r>
          </w:p>
        </w:tc>
        <w:tc>
          <w:tcPr>
            <w:tcW w:w="1440" w:type="dxa"/>
          </w:tcPr>
          <w:p>
            <w:pPr>
              <w:pStyle w:val="48"/>
              <w:rPr>
                <w:b/>
                <w:bCs w:val="0"/>
                <w:sz w:val="20"/>
              </w:rPr>
            </w:pPr>
            <w:r>
              <w:rPr>
                <w:b/>
                <w:bCs w:val="0"/>
                <w:sz w:val="20"/>
              </w:rPr>
              <w:t>-</w:t>
            </w:r>
          </w:p>
        </w:tc>
        <w:tc>
          <w:tcPr>
            <w:tcW w:w="1440" w:type="dxa"/>
          </w:tcPr>
          <w:p>
            <w:pPr>
              <w:pStyle w:val="48"/>
              <w:rPr>
                <w:b/>
                <w:bCs w:val="0"/>
                <w:sz w:val="20"/>
              </w:rPr>
            </w:pPr>
            <w:r>
              <w:rPr>
                <w:b/>
                <w:bCs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794" w:type="dxa"/>
            <w:vAlign w:val="center"/>
          </w:tcPr>
          <w:p>
            <w:pPr>
              <w:pStyle w:val="48"/>
              <w:rPr>
                <w:b/>
                <w:bCs w:val="0"/>
                <w:sz w:val="20"/>
              </w:rPr>
            </w:pPr>
            <w:r>
              <w:rPr>
                <w:b/>
                <w:bCs w:val="0"/>
                <w:sz w:val="20"/>
              </w:rPr>
              <w:t>6</w:t>
            </w:r>
          </w:p>
        </w:tc>
        <w:tc>
          <w:tcPr>
            <w:tcW w:w="1451" w:type="dxa"/>
          </w:tcPr>
          <w:p>
            <w:pPr>
              <w:pStyle w:val="48"/>
              <w:rPr>
                <w:b/>
                <w:bCs w:val="0"/>
                <w:color w:val="auto"/>
                <w:sz w:val="20"/>
              </w:rPr>
            </w:pPr>
            <w:r>
              <w:rPr>
                <w:b/>
                <w:bCs w:val="0"/>
                <w:color w:val="auto"/>
                <w:sz w:val="20"/>
              </w:rPr>
              <w:t>16</w:t>
            </w:r>
          </w:p>
        </w:tc>
        <w:tc>
          <w:tcPr>
            <w:tcW w:w="1530" w:type="dxa"/>
          </w:tcPr>
          <w:p>
            <w:pPr>
              <w:pStyle w:val="48"/>
              <w:rPr>
                <w:b/>
                <w:bCs w:val="0"/>
                <w:color w:val="auto"/>
                <w:sz w:val="20"/>
              </w:rPr>
            </w:pPr>
            <w:r>
              <w:rPr>
                <w:b/>
                <w:bCs w:val="0"/>
                <w:color w:val="auto"/>
                <w:sz w:val="20"/>
              </w:rPr>
              <w:t>16</w:t>
            </w:r>
          </w:p>
        </w:tc>
        <w:tc>
          <w:tcPr>
            <w:tcW w:w="1440" w:type="dxa"/>
          </w:tcPr>
          <w:p>
            <w:pPr>
              <w:pStyle w:val="48"/>
              <w:rPr>
                <w:b/>
                <w:bCs w:val="0"/>
                <w:sz w:val="20"/>
              </w:rPr>
            </w:pPr>
            <w:r>
              <w:rPr>
                <w:b/>
                <w:bCs w:val="0"/>
                <w:sz w:val="20"/>
              </w:rPr>
              <w:t>32</w:t>
            </w:r>
          </w:p>
        </w:tc>
        <w:tc>
          <w:tcPr>
            <w:tcW w:w="1440" w:type="dxa"/>
          </w:tcPr>
          <w:p>
            <w:pPr>
              <w:pStyle w:val="48"/>
              <w:rPr>
                <w:b/>
                <w:bCs w:val="0"/>
                <w:sz w:val="20"/>
              </w:rPr>
            </w:pPr>
            <w:r>
              <w:rPr>
                <w:b/>
                <w:bCs w:val="0"/>
                <w:sz w:val="20"/>
              </w:rPr>
              <w:t>32</w:t>
            </w:r>
          </w:p>
        </w:tc>
      </w:tr>
    </w:tbl>
    <w:p>
      <w:pPr>
        <w:numPr>
          <w:ilvl w:val="1"/>
          <w:numId w:val="0"/>
        </w:numPr>
        <w:snapToGrid w:val="0"/>
        <w:spacing w:after="180" w:line="260" w:lineRule="auto"/>
        <w:ind w:left="0" w:firstLine="0"/>
        <w:jc w:val="both"/>
        <w:rPr>
          <w:rFonts w:hint="default" w:eastAsia="宋体"/>
          <w:b/>
          <w:bCs/>
          <w:lang w:val="en-US" w:eastAsia="zh-CN"/>
        </w:rPr>
      </w:pPr>
    </w:p>
    <w:p>
      <w:pPr>
        <w:numPr>
          <w:ilvl w:val="0"/>
          <w:numId w:val="0"/>
        </w:numPr>
        <w:autoSpaceDE w:val="0"/>
        <w:autoSpaceDN w:val="0"/>
        <w:adjustRightInd w:val="0"/>
        <w:snapToGrid w:val="0"/>
        <w:spacing w:before="180" w:after="180" w:line="260" w:lineRule="auto"/>
        <w:jc w:val="both"/>
        <w:rPr>
          <w:rFonts w:hint="eastAsia" w:eastAsia="宋体"/>
          <w:b/>
          <w:bCs w:val="0"/>
          <w:lang w:val="en-US" w:eastAsia="zh-CN"/>
        </w:rPr>
      </w:pPr>
      <w:bookmarkStart w:id="7" w:name="_GoBack"/>
      <w:r>
        <w:rPr>
          <w:rFonts w:hint="eastAsia" w:cs="Times New Roman"/>
          <w:b/>
          <w:bCs/>
          <w:kern w:val="0"/>
          <w:sz w:val="20"/>
          <w:szCs w:val="20"/>
          <w:lang w:val="en-US" w:eastAsia="zh-CN"/>
        </w:rPr>
        <w:t xml:space="preserve">Proposal 4: The search space configuration for 120kHz SCS in FR2-2 including </w:t>
      </w:r>
      <w:r>
        <w:rPr>
          <w:rFonts w:hint="eastAsia" w:eastAsia="宋体"/>
          <w:b/>
          <w:bCs/>
          <w:i/>
          <w:iCs/>
          <w:lang w:val="en-US" w:eastAsia="zh-CN"/>
        </w:rPr>
        <w:t xml:space="preserve">monitoringSlotPeriodicityAndOffset </w:t>
      </w:r>
      <w:r>
        <w:rPr>
          <w:rFonts w:hint="eastAsia" w:cs="Times New Roman"/>
          <w:b/>
          <w:bCs/>
          <w:kern w:val="0"/>
          <w:sz w:val="20"/>
          <w:szCs w:val="20"/>
          <w:lang w:val="en-US" w:eastAsia="zh-CN"/>
        </w:rPr>
        <w:t xml:space="preserve">, </w:t>
      </w:r>
      <w:r>
        <w:rPr>
          <w:rFonts w:hint="eastAsia" w:eastAsia="宋体"/>
          <w:b/>
          <w:bCs/>
          <w:i/>
          <w:iCs/>
          <w:lang w:val="en-US" w:eastAsia="zh-CN"/>
        </w:rPr>
        <w:t>duration</w:t>
      </w:r>
      <w:r>
        <w:rPr>
          <w:rFonts w:hint="eastAsia" w:cs="Times New Roman"/>
          <w:b/>
          <w:bCs/>
          <w:kern w:val="0"/>
          <w:sz w:val="20"/>
          <w:szCs w:val="20"/>
          <w:lang w:val="en-US" w:eastAsia="zh-CN"/>
        </w:rPr>
        <w:t xml:space="preserve"> and </w:t>
      </w:r>
      <w:r>
        <w:rPr>
          <w:b/>
          <w:bCs/>
          <w:i/>
          <w:iCs/>
        </w:rPr>
        <w:t>monitoringSymbolsWithinSlot</w:t>
      </w:r>
      <w:r>
        <w:rPr>
          <w:rFonts w:hint="eastAsia" w:eastAsia="宋体"/>
          <w:b/>
          <w:bCs/>
          <w:i/>
          <w:iCs/>
          <w:lang w:val="en-US" w:eastAsia="zh-CN"/>
        </w:rPr>
        <w:t xml:space="preserve"> </w:t>
      </w:r>
      <w:r>
        <w:rPr>
          <w:rFonts w:hint="eastAsia" w:cs="Times New Roman"/>
          <w:b/>
          <w:bCs/>
          <w:kern w:val="0"/>
          <w:sz w:val="20"/>
          <w:szCs w:val="20"/>
          <w:lang w:val="en-US" w:eastAsia="zh-CN"/>
        </w:rPr>
        <w:t>can be the same as that for 120kHz in FR2-1.</w:t>
      </w:r>
    </w:p>
    <w:p>
      <w:pPr>
        <w:spacing w:after="180" w:line="260" w:lineRule="auto"/>
        <w:jc w:val="both"/>
        <w:rPr>
          <w:rFonts w:hint="eastAsia" w:eastAsia="宋体"/>
          <w:b/>
          <w:lang w:val="en-US" w:eastAsia="zh-CN"/>
        </w:rPr>
      </w:pPr>
      <w:r>
        <w:rPr>
          <w:rFonts w:hint="eastAsia" w:eastAsia="宋体"/>
          <w:b/>
          <w:bCs w:val="0"/>
          <w:lang w:val="en-US" w:eastAsia="zh-CN"/>
        </w:rPr>
        <w:t xml:space="preserve">Proposal 5: For </w:t>
      </w:r>
      <w:r>
        <w:rPr>
          <w:rFonts w:hint="eastAsia" w:eastAsia="宋体"/>
          <w:b/>
          <w:lang w:val="en-US" w:eastAsia="zh-CN"/>
        </w:rPr>
        <w:t>multi-slot PDCCH monitoring in FR2-2, w</w:t>
      </w:r>
      <w:r>
        <w:rPr>
          <w:rFonts w:hint="eastAsia" w:eastAsia="宋体"/>
          <w:b/>
          <w:bCs w:val="0"/>
          <w:lang w:val="en-US" w:eastAsia="zh-CN"/>
        </w:rPr>
        <w:t xml:space="preserve">e suggest introducing new parameters (e.g. </w:t>
      </w:r>
      <w:r>
        <w:rPr>
          <w:rFonts w:hint="eastAsia" w:eastAsia="宋体"/>
          <w:b/>
          <w:bCs w:val="0"/>
          <w:i/>
          <w:iCs/>
          <w:lang w:val="en-US" w:eastAsia="zh-CN"/>
        </w:rPr>
        <w:t>monitoringSlotPeriodicityAndOffset-r17</w:t>
      </w:r>
      <w:r>
        <w:rPr>
          <w:rFonts w:hint="eastAsia" w:eastAsia="宋体"/>
          <w:b/>
          <w:bCs w:val="0"/>
          <w:lang w:val="en-US" w:eastAsia="zh-CN"/>
        </w:rPr>
        <w:t xml:space="preserve"> and </w:t>
      </w:r>
      <w:r>
        <w:rPr>
          <w:rFonts w:hint="eastAsia" w:eastAsia="宋体"/>
          <w:b/>
          <w:bCs w:val="0"/>
          <w:i/>
          <w:iCs/>
          <w:lang w:val="en-US" w:eastAsia="zh-CN"/>
        </w:rPr>
        <w:t>duration-r17</w:t>
      </w:r>
      <w:r>
        <w:rPr>
          <w:rFonts w:hint="eastAsia" w:eastAsia="宋体"/>
          <w:b/>
          <w:bCs w:val="0"/>
          <w:lang w:val="en-US" w:eastAsia="zh-CN"/>
        </w:rPr>
        <w:t xml:space="preserve"> ) and adding </w:t>
      </w:r>
      <w:r>
        <w:rPr>
          <w:rFonts w:hint="eastAsia" w:eastAsia="宋体"/>
          <w:b/>
          <w:lang w:val="en-US" w:eastAsia="zh-CN"/>
        </w:rPr>
        <w:t>other appropriate periodicity/duration values in addition to the existing configurable values. Moreover, additional restrictions are needed to make sure that the values of periodicity and duration for 480/960 kHz are an integral multiple of slot groups.</w:t>
      </w:r>
    </w:p>
    <w:p>
      <w:pPr>
        <w:spacing w:after="180" w:line="260" w:lineRule="auto"/>
        <w:jc w:val="both"/>
        <w:rPr>
          <w:rFonts w:hint="eastAsia"/>
          <w:b/>
          <w:bCs w:val="0"/>
          <w:lang w:val="en-US" w:eastAsia="zh-CN"/>
        </w:rPr>
      </w:pPr>
      <w:r>
        <w:rPr>
          <w:rFonts w:hint="eastAsia" w:eastAsia="宋体"/>
          <w:b/>
          <w:lang w:val="en-US" w:eastAsia="zh-CN"/>
        </w:rPr>
        <w:t xml:space="preserve">Proposal 6: </w:t>
      </w:r>
      <w:r>
        <w:rPr>
          <w:rFonts w:hint="eastAsia" w:eastAsia="宋体"/>
          <w:b/>
          <w:bCs/>
          <w:lang w:val="en-US" w:eastAsia="zh-CN"/>
        </w:rPr>
        <w:t>A</w:t>
      </w:r>
      <w:r>
        <w:rPr>
          <w:rFonts w:hint="eastAsia" w:eastAsia="宋体"/>
          <w:b/>
          <w:bCs w:val="0"/>
          <w:lang w:val="en-US" w:eastAsia="zh-CN"/>
        </w:rPr>
        <w:t xml:space="preserve"> new slot level bitmap (e.g. </w:t>
      </w:r>
      <w:r>
        <w:rPr>
          <w:rFonts w:hint="eastAsia" w:eastAsia="宋体"/>
          <w:b/>
          <w:bCs/>
          <w:i/>
          <w:iCs/>
          <w:lang w:val="en-US" w:eastAsia="zh-CN"/>
        </w:rPr>
        <w:t>monitoringSlotsWithinSlotGroup</w:t>
      </w:r>
      <w:r>
        <w:rPr>
          <w:rFonts w:hint="eastAsia" w:eastAsia="宋体"/>
          <w:b/>
          <w:bCs w:val="0"/>
          <w:lang w:val="en-US" w:eastAsia="zh-CN"/>
        </w:rPr>
        <w:t>) needs to be introduced to indicate which slots have monitoring occasions winthin a slot group for SCS 480/960 kHz.</w:t>
      </w:r>
      <w:r>
        <w:rPr>
          <w:rFonts w:hint="eastAsia"/>
          <w:b/>
          <w:bCs w:val="0"/>
          <w:lang w:val="en-US" w:eastAsia="zh-CN"/>
        </w:rPr>
        <w:t xml:space="preserve"> </w:t>
      </w:r>
    </w:p>
    <w:p>
      <w:pPr>
        <w:spacing w:after="0" w:line="260" w:lineRule="auto"/>
        <w:jc w:val="both"/>
        <w:rPr>
          <w:rFonts w:hint="default" w:ascii="Times New Roman" w:hAnsi="Times New Roman" w:cs="Times New Roman"/>
          <w:b/>
          <w:sz w:val="20"/>
          <w:szCs w:val="20"/>
        </w:rPr>
      </w:pPr>
      <w:r>
        <w:rPr>
          <w:rFonts w:hint="eastAsia"/>
          <w:b/>
          <w:bCs w:val="0"/>
          <w:lang w:val="en-US" w:eastAsia="zh-CN"/>
        </w:rPr>
        <w:t xml:space="preserve">Proposal 7: </w:t>
      </w:r>
      <w:r>
        <w:rPr>
          <w:rFonts w:hint="eastAsia" w:eastAsia="宋体"/>
          <w:b/>
          <w:bCs/>
          <w:lang w:val="en-US" w:eastAsia="zh-CN"/>
        </w:rPr>
        <w:t xml:space="preserve">Confirm the working assumption: </w:t>
      </w:r>
      <w:r>
        <w:rPr>
          <w:rFonts w:hint="default" w:ascii="Times New Roman" w:hAnsi="Times New Roman" w:cs="Times New Roman"/>
          <w:b/>
          <w:sz w:val="20"/>
          <w:szCs w:val="20"/>
        </w:rPr>
        <w:t>Support only search space set group switching processing capability 1 with the following values</w:t>
      </w:r>
    </w:p>
    <w:bookmarkEnd w:id="7"/>
    <w:tbl>
      <w:tblPr>
        <w:tblStyle w:val="25"/>
        <w:tblW w:w="0" w:type="auto"/>
        <w:tblInd w:w="16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300" w:type="dxa"/>
            <w:shd w:val="clear" w:color="auto" w:fill="E0E0E0"/>
            <w:noWrap w:val="0"/>
            <w:vAlign w:val="center"/>
          </w:tcPr>
          <w:p>
            <w:pPr>
              <w:pStyle w:val="47"/>
              <w:rPr>
                <w:rFonts w:hint="default" w:ascii="Times New Roman" w:hAnsi="Times New Roman" w:cs="Times New Roman"/>
                <w:sz w:val="20"/>
                <w:szCs w:val="20"/>
              </w:rPr>
            </w:pPr>
            <m:oMathPara>
              <m:oMath>
                <m:r>
                  <m:rPr>
                    <m:sty m:val="bi"/>
                  </m:rPr>
                  <w:rPr>
                    <w:rFonts w:hint="default" w:ascii="Cambria Math" w:hAnsi="Cambria Math" w:cs="Times New Roman"/>
                    <w:sz w:val="20"/>
                    <w:szCs w:val="20"/>
                  </w:rPr>
                  <m:t>μ</m:t>
                </m:r>
              </m:oMath>
            </m:oMathPara>
          </w:p>
        </w:tc>
        <w:tc>
          <w:tcPr>
            <w:tcW w:w="3385" w:type="dxa"/>
            <w:shd w:val="clear" w:color="auto" w:fill="E0E0E0"/>
            <w:noWrap w:val="0"/>
            <w:vAlign w:val="center"/>
          </w:tcPr>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Minimum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5"/>
                <w:sz w:val="20"/>
                <w:szCs w:val="20"/>
              </w:rPr>
              <w:pict>
                <v:shape id="_x0000_i1032" o:spt="75" type="#_x0000_t75" style="height:10.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F90&quot;/&gt;&lt;wsp:rsid wsp:val=&quot;00020601&quot;/&gt;&lt;wsp:rsid wsp:val=&quot;000206F5&quot;/&gt;&lt;wsp:rsid wsp:val=&quot;00021A46&quot;/&gt;&lt;wsp:rsid wsp:val=&quot;00025E0A&quot;/&gt;&lt;wsp:rsid wsp:val=&quot;000263BF&quot;/&gt;&lt;wsp:rsid wsp:val=&quot;00027418&quot;/&gt;&lt;wsp:rsid wsp:val=&quot;00031B75&quot;/&gt;&lt;wsp:rsid wsp:val=&quot;0004516F&quot;/&gt;&lt;wsp:rsid wsp:val=&quot;0004636F&quot;/&gt;&lt;wsp:rsid wsp:val=&quot;00053611&quot;/&gt;&lt;wsp:rsid wsp:val=&quot;00061115&quot;/&gt;&lt;wsp:rsid wsp:val=&quot;00064D0D&quot;/&gt;&lt;wsp:rsid wsp:val=&quot;00073C45&quot;/&gt;&lt;wsp:rsid wsp:val=&quot;00074A3E&quot;/&gt;&lt;wsp:rsid wsp:val=&quot;00076C50&quot;/&gt;&lt;wsp:rsid wsp:val=&quot;0008343E&quot;/&gt;&lt;wsp:rsid wsp:val=&quot;00084952&quot;/&gt;&lt;wsp:rsid wsp:val=&quot;000A0641&quot;/&gt;&lt;wsp:rsid wsp:val=&quot;000A16AE&quot;/&gt;&lt;wsp:rsid wsp:val=&quot;000A5663&quot;/&gt;&lt;wsp:rsid wsp:val=&quot;000B5042&quot;/&gt;&lt;wsp:rsid wsp:val=&quot;000B5BDD&quot;/&gt;&lt;wsp:rsid wsp:val=&quot;000B71F4&quot;/&gt;&lt;wsp:rsid wsp:val=&quot;000C256E&quot;/&gt;&lt;wsp:rsid wsp:val=&quot;000C4F36&quot;/&gt;&lt;wsp:rsid wsp:val=&quot;000C51A7&quot;/&gt;&lt;wsp:rsid wsp:val=&quot;000D0601&quot;/&gt;&lt;wsp:rsid wsp:val=&quot;000D644D&quot;/&gt;&lt;wsp:rsid wsp:val=&quot;000E73F5&quot;/&gt;&lt;wsp:rsid wsp:val=&quot;00112B5A&quot;/&gt;&lt;wsp:rsid wsp:val=&quot;001132F5&quot;/&gt;&lt;wsp:rsid wsp:val=&quot;001201BD&quot;/&gt;&lt;wsp:rsid wsp:val=&quot;00144415&quot;/&gt;&lt;wsp:rsid wsp:val=&quot;001671FB&quot;/&gt;&lt;wsp:rsid wsp:val=&quot;001675CE&quot;/&gt;&lt;wsp:rsid wsp:val=&quot;0018004F&quot;/&gt;&lt;wsp:rsid wsp:val=&quot;001839FA&quot;/&gt;&lt;wsp:rsid wsp:val=&quot;001C40D9&quot;/&gt;&lt;wsp:rsid wsp:val=&quot;001C4BB2&quot;/&gt;&lt;wsp:rsid wsp:val=&quot;001D150F&quot;/&gt;&lt;wsp:rsid wsp:val=&quot;001D7AE8&quot;/&gt;&lt;wsp:rsid wsp:val=&quot;0020141C&quot;/&gt;&lt;wsp:rsid wsp:val=&quot;00211448&quot;/&gt;&lt;wsp:rsid wsp:val=&quot;00257BB3&quot;/&gt;&lt;wsp:rsid wsp:val=&quot;00265760&quot;/&gt;&lt;wsp:rsid wsp:val=&quot;00267CF5&quot;/&gt;&lt;wsp:rsid wsp:val=&quot;002775FF&quot;/&gt;&lt;wsp:rsid wsp:val=&quot;00293C36&quot;/&gt;&lt;wsp:rsid wsp:val=&quot;0029433B&quot;/&gt;&lt;wsp:rsid wsp:val=&quot;0029757E&quot;/&gt;&lt;wsp:rsid wsp:val=&quot;002A1E7D&quot;/&gt;&lt;wsp:rsid wsp:val=&quot;002B020F&quot;/&gt;&lt;wsp:rsid wsp:val=&quot;002C1940&quot;/&gt;&lt;wsp:rsid wsp:val=&quot;002C52EA&quot;/&gt;&lt;wsp:rsid wsp:val=&quot;002C578C&quot;/&gt;&lt;wsp:rsid wsp:val=&quot;002D217C&quot;/&gt;&lt;wsp:rsid wsp:val=&quot;002D4D40&quot;/&gt;&lt;wsp:rsid wsp:val=&quot;002F0EF5&quot;/&gt;&lt;wsp:rsid wsp:val=&quot;002F27F0&quot;/&gt;&lt;wsp:rsid wsp:val=&quot;002F79D8&quot;/&gt;&lt;wsp:rsid wsp:val=&quot;00302C02&quot;/&gt;&lt;wsp:rsid wsp:val=&quot;0031743C&quot;/&gt;&lt;wsp:rsid wsp:val=&quot;00322BA8&quot;/&gt;&lt;wsp:rsid wsp:val=&quot;0032676D&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A50A3&quot;/&gt;&lt;wsp:rsid wsp:val=&quot;003B0BF8&quot;/&gt;&lt;wsp:rsid wsp:val=&quot;003C2BE6&quot;/&gt;&lt;wsp:rsid wsp:val=&quot;003E0305&quot;/&gt;&lt;wsp:rsid wsp:val=&quot;003E1073&quot;/&gt;&lt;wsp:rsid wsp:val=&quot;003F3F64&quot;/&gt;&lt;wsp:rsid wsp:val=&quot;003F47B5&quot;/&gt;&lt;wsp:rsid wsp:val=&quot;003F5464&quot;/&gt;&lt;wsp:rsid wsp:val=&quot;004206FA&quot;/&gt;&lt;wsp:rsid wsp:val=&quot;004304AF&quot;/&gt;&lt;wsp:rsid wsp:val=&quot;00437B5E&quot;/&gt;&lt;wsp:rsid wsp:val=&quot;0044082C&quot;/&gt;&lt;wsp:rsid wsp:val=&quot;00442A50&quot;/&gt;&lt;wsp:rsid wsp:val=&quot;00445E1C&quot;/&gt;&lt;wsp:rsid wsp:val=&quot;004504E6&quot;/&gt;&lt;wsp:rsid wsp:val=&quot;00462BD0&quot;/&gt;&lt;wsp:rsid wsp:val=&quot;00484126&quot;/&gt;&lt;wsp:rsid wsp:val=&quot;004952EA&quot;/&gt;&lt;wsp:rsid wsp:val=&quot;004959F0&quot;/&gt;&lt;wsp:rsid wsp:val=&quot;004A44DE&quot;/&gt;&lt;wsp:rsid wsp:val=&quot;004A4D61&quot;/&gt;&lt;wsp:rsid wsp:val=&quot;004A7A04&quot;/&gt;&lt;wsp:rsid wsp:val=&quot;004B38C4&quot;/&gt;&lt;wsp:rsid wsp:val=&quot;004B6CDD&quot;/&gt;&lt;wsp:rsid wsp:val=&quot;004C1EAC&quot;/&gt;&lt;wsp:rsid wsp:val=&quot;004C20CB&quot;/&gt;&lt;wsp:rsid wsp:val=&quot;004C5181&quot;/&gt;&lt;wsp:rsid wsp:val=&quot;004C6C1E&quot;/&gt;&lt;wsp:rsid wsp:val=&quot;004C740B&quot;/&gt;&lt;wsp:rsid wsp:val=&quot;004E1DF7&quot;/&gt;&lt;wsp:rsid wsp:val=&quot;004E40C3&quot;/&gt;&lt;wsp:rsid wsp:val=&quot;004F00EF&quot;/&gt;&lt;wsp:rsid wsp:val=&quot;005110EA&quot;/&gt;&lt;wsp:rsid wsp:val=&quot;00514701&quot;/&gt;&lt;wsp:rsid wsp:val=&quot;00546BEF&quot;/&gt;&lt;wsp:rsid wsp:val=&quot;00551BEB&quot;/&gt;&lt;wsp:rsid wsp:val=&quot;00554E95&quot;/&gt;&lt;wsp:rsid wsp:val=&quot;00560B0F&quot;/&gt;&lt;wsp:rsid wsp:val=&quot;0056125D&quot;/&gt;&lt;wsp:rsid wsp:val=&quot;005642F1&quot;/&gt;&lt;wsp:rsid wsp:val=&quot;005648DC&quot;/&gt;&lt;wsp:rsid wsp:val=&quot;0056693D&quot;/&gt;&lt;wsp:rsid wsp:val=&quot;00570536&quot;/&gt;&lt;wsp:rsid wsp:val=&quot;005765F4&quot;/&gt;&lt;wsp:rsid wsp:val=&quot;00581EDA&quot;/&gt;&lt;wsp:rsid wsp:val=&quot;00585CC3&quot;/&gt;&lt;wsp:rsid wsp:val=&quot;005A07BC&quot;/&gt;&lt;wsp:rsid wsp:val=&quot;005A210D&quot;/&gt;&lt;wsp:rsid wsp:val=&quot;005B4E30&quot;/&gt;&lt;wsp:rsid wsp:val=&quot;005D4467&quot;/&gt;&lt;wsp:rsid wsp:val=&quot;005E4C37&quot;/&gt;&lt;wsp:rsid wsp:val=&quot;005F76DC&quot;/&gt;&lt;wsp:rsid wsp:val=&quot;00601865&quot;/&gt;&lt;wsp:rsid wsp:val=&quot;00614310&quot;/&gt;&lt;wsp:rsid wsp:val=&quot;006145B3&quot;/&gt;&lt;wsp:rsid wsp:val=&quot;006145C0&quot;/&gt;&lt;wsp:rsid wsp:val=&quot;00626711&quot;/&gt;&lt;wsp:rsid wsp:val=&quot;00636383&quot;/&gt;&lt;wsp:rsid wsp:val=&quot;00640051&quot;/&gt;&lt;wsp:rsid wsp:val=&quot;00645CFD&quot;/&gt;&lt;wsp:rsid wsp:val=&quot;00683F5D&quot;/&gt;&lt;wsp:rsid wsp:val=&quot;006845E0&quot;/&gt;&lt;wsp:rsid wsp:val=&quot;006869F0&quot;/&gt;&lt;wsp:rsid wsp:val=&quot;006A4FC6&quot;/&gt;&lt;wsp:rsid wsp:val=&quot;006B3BB5&quot;/&gt;&lt;wsp:rsid wsp:val=&quot;006B449A&quot;/&gt;&lt;wsp:rsid wsp:val=&quot;006B58E2&quot;/&gt;&lt;wsp:rsid wsp:val=&quot;006D4094&quot;/&gt;&lt;wsp:rsid wsp:val=&quot;006F52F3&quot;/&gt;&lt;wsp:rsid wsp:val=&quot;006F77A7&quot;/&gt;&lt;wsp:rsid wsp:val=&quot;007003FC&quot;/&gt;&lt;wsp:rsid wsp:val=&quot;007040C1&quot;/&gt;&lt;wsp:rsid wsp:val=&quot;00704D87&quot;/&gt;&lt;wsp:rsid wsp:val=&quot;007077AC&quot;/&gt;&lt;wsp:rsid wsp:val=&quot;007322C8&quot;/&gt;&lt;wsp:rsid wsp:val=&quot;007333B3&quot;/&gt;&lt;wsp:rsid wsp:val=&quot;00734745&quot;/&gt;&lt;wsp:rsid wsp:val=&quot;007375F8&quot;/&gt;&lt;wsp:rsid wsp:val=&quot;00737671&quot;/&gt;&lt;wsp:rsid wsp:val=&quot;007411E5&quot;/&gt;&lt;wsp:rsid wsp:val=&quot;007436B8&quot;/&gt;&lt;wsp:rsid wsp:val=&quot;0075263B&quot;/&gt;&lt;wsp:rsid wsp:val=&quot;007529CA&quot;/&gt;&lt;wsp:rsid wsp:val=&quot;007659DB&quot;/&gt;&lt;wsp:rsid wsp:val=&quot;00777298&quot;/&gt;&lt;wsp:rsid wsp:val=&quot;0078778D&quot;/&gt;&lt;wsp:rsid wsp:val=&quot;00792320&quot;/&gt;&lt;wsp:rsid wsp:val=&quot;007A24A4&quot;/&gt;&lt;wsp:rsid wsp:val=&quot;007A6E88&quot;/&gt;&lt;wsp:rsid wsp:val=&quot;007B7F47&quot;/&gt;&lt;wsp:rsid wsp:val=&quot;007C3C20&quot;/&gt;&lt;wsp:rsid wsp:val=&quot;007C6FF2&quot;/&gt;&lt;wsp:rsid wsp:val=&quot;007D2E5C&quot;/&gt;&lt;wsp:rsid wsp:val=&quot;007E5906&quot;/&gt;&lt;wsp:rsid wsp:val=&quot;00807555&quot;/&gt;&lt;wsp:rsid wsp:val=&quot;0082254F&quot;/&gt;&lt;wsp:rsid wsp:val=&quot;00823D01&quot;/&gt;&lt;wsp:rsid wsp:val=&quot;00835CD6&quot;/&gt;&lt;wsp:rsid wsp:val=&quot;008404D2&quot;/&gt;&lt;wsp:rsid wsp:val=&quot;00847AB9&quot;/&gt;&lt;wsp:rsid wsp:val=&quot;00854556&quot;/&gt;&lt;wsp:rsid wsp:val=&quot;00857F8C&quot;/&gt;&lt;wsp:rsid wsp:val=&quot;008615B1&quot;/&gt;&lt;wsp:rsid wsp:val=&quot;0086583C&quot;/&gt;&lt;wsp:rsid wsp:val=&quot;00872E25&quot;/&gt;&lt;wsp:rsid wsp:val=&quot;00887719&quot;/&gt;&lt;wsp:rsid wsp:val=&quot;00893EE4&quot;/&gt;&lt;wsp:rsid wsp:val=&quot;008A34F1&quot;/&gt;&lt;wsp:rsid wsp:val=&quot;008B02BF&quot;/&gt;&lt;wsp:rsid wsp:val=&quot;008B4981&quot;/&gt;&lt;wsp:rsid wsp:val=&quot;008C7B27&quot;/&gt;&lt;wsp:rsid wsp:val=&quot;008D2DE7&quot;/&gt;&lt;wsp:rsid wsp:val=&quot;008E3830&quot;/&gt;&lt;wsp:rsid wsp:val=&quot;008E4702&quot;/&gt;&lt;wsp:rsid wsp:val=&quot;008F7C25&quot;/&gt;&lt;wsp:rsid wsp:val=&quot;00903C5C&quot;/&gt;&lt;wsp:rsid wsp:val=&quot;00920939&quot;/&gt;&lt;wsp:rsid wsp:val=&quot;00924E2C&quot;/&gt;&lt;wsp:rsid wsp:val=&quot;00931DD4&quot;/&gt;&lt;wsp:rsid wsp:val=&quot;0093445B&quot;/&gt;&lt;wsp:rsid wsp:val=&quot;009347F2&quot;/&gt;&lt;wsp:rsid wsp:val=&quot;00934BA9&quot;/&gt;&lt;wsp:rsid wsp:val=&quot;00953D93&quot;/&gt;&lt;wsp:rsid wsp:val=&quot;00955C28&quot;/&gt;&lt;wsp:rsid wsp:val=&quot;0096773A&quot;/&gt;&lt;wsp:rsid wsp:val=&quot;009709D8&quot;/&gt;&lt;wsp:rsid wsp:val=&quot;00981D9F&quot;/&gt;&lt;wsp:rsid wsp:val=&quot;00991156&quot;/&gt;&lt;wsp:rsid wsp:val=&quot;009964F2&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769C&quot;/&gt;&lt;wsp:rsid wsp:val=&quot;00AA1F42&quot;/&gt;&lt;wsp:rsid wsp:val=&quot;00AA341E&quot;/&gt;&lt;wsp:rsid wsp:val=&quot;00AB50F0&quot;/&gt;&lt;wsp:rsid wsp:val=&quot;00AC5850&quot;/&gt;&lt;wsp:rsid wsp:val=&quot;00AD2F16&quot;/&gt;&lt;wsp:rsid wsp:val=&quot;00AD6EB0&quot;/&gt;&lt;wsp:rsid wsp:val=&quot;00AE6B19&quot;/&gt;&lt;wsp:rsid wsp:val=&quot;00AF6EBE&quot;/&gt;&lt;wsp:rsid wsp:val=&quot;00B02742&quot;/&gt;&lt;wsp:rsid wsp:val=&quot;00B05D7B&quot;/&gt;&lt;wsp:rsid wsp:val=&quot;00B20627&quot;/&gt;&lt;wsp:rsid wsp:val=&quot;00B34F32&quot;/&gt;&lt;wsp:rsid wsp:val=&quot;00B362DE&quot;/&gt;&lt;wsp:rsid wsp:val=&quot;00B54011&quot;/&gt;&lt;wsp:rsid wsp:val=&quot;00B640E8&quot;/&gt;&lt;wsp:rsid wsp:val=&quot;00B73780&quot;/&gt;&lt;wsp:rsid wsp:val=&quot;00B75DE1&quot;/&gt;&lt;wsp:rsid wsp:val=&quot;00B846F0&quot;/&gt;&lt;wsp:rsid wsp:val=&quot;00B87127&quot;/&gt;&lt;wsp:rsid wsp:val=&quot;00B92631&quot;/&gt;&lt;wsp:rsid wsp:val=&quot;00B94D9A&quot;/&gt;&lt;wsp:rsid wsp:val=&quot;00B97AAA&quot;/&gt;&lt;wsp:rsid wsp:val=&quot;00BA46F5&quot;/&gt;&lt;wsp:rsid wsp:val=&quot;00BC3D43&quot;/&gt;&lt;wsp:rsid wsp:val=&quot;00BD4C09&quot;/&gt;&lt;wsp:rsid wsp:val=&quot;00BF1F78&quot;/&gt;&lt;wsp:rsid wsp:val=&quot;00BF7B8F&quot;/&gt;&lt;wsp:rsid wsp:val=&quot;00C24201&quot;/&gt;&lt;wsp:rsid wsp:val=&quot;00C37179&quot;/&gt;&lt;wsp:rsid wsp:val=&quot;00C447E1&quot;/&gt;&lt;wsp:rsid wsp:val=&quot;00C44F12&quot;/&gt;&lt;wsp:rsid wsp:val=&quot;00C4592C&quot;/&gt;&lt;wsp:rsid wsp:val=&quot;00C51723&quot;/&gt;&lt;wsp:rsid wsp:val=&quot;00C54D43&quot;/&gt;&lt;wsp:rsid wsp:val=&quot;00C569CC&quot;/&gt;&lt;wsp:rsid wsp:val=&quot;00C707D9&quot;/&gt;&lt;wsp:rsid wsp:val=&quot;00C758A0&quot;/&gt;&lt;wsp:rsid wsp:val=&quot;00C858D6&quot;/&gt;&lt;wsp:rsid wsp:val=&quot;00C86B16&quot;/&gt;&lt;wsp:rsid wsp:val=&quot;00CA0009&quot;/&gt;&lt;wsp:rsid wsp:val=&quot;00CA4A7A&quot;/&gt;&lt;wsp:rsid wsp:val=&quot;00CB203E&quot;/&gt;&lt;wsp:rsid wsp:val=&quot;00CB295C&quot;/&gt;&lt;wsp:rsid wsp:val=&quot;00CD1153&quot;/&gt;&lt;wsp:rsid wsp:val=&quot;00D0138D&quot;/&gt;&lt;wsp:rsid wsp:val=&quot;00D15FAF&quot;/&gt;&lt;wsp:rsid wsp:val=&quot;00D24A6C&quot;/&gt;&lt;wsp:rsid wsp:val=&quot;00D4731C&quot;/&gt;&lt;wsp:rsid wsp:val=&quot;00D7149A&quot;/&gt;&lt;wsp:rsid wsp:val=&quot;00D978A0&quot;/&gt;&lt;wsp:rsid wsp:val=&quot;00DB156D&quot;/&gt;&lt;wsp:rsid wsp:val=&quot;00DC715B&quot;/&gt;&lt;wsp:rsid wsp:val=&quot;00DD110B&quot;/&gt;&lt;wsp:rsid wsp:val=&quot;00DD5063&quot;/&gt;&lt;wsp:rsid wsp:val=&quot;00DD6DD6&quot;/&gt;&lt;wsp:rsid wsp:val=&quot;00DE4E26&quot;/&gt;&lt;wsp:rsid wsp:val=&quot;00DE5770&quot;/&gt;&lt;wsp:rsid wsp:val=&quot;00DF59ED&quot;/&gt;&lt;wsp:rsid wsp:val=&quot;00E032FA&quot;/&gt;&lt;wsp:rsid wsp:val=&quot;00E106DC&quot;/&gt;&lt;wsp:rsid wsp:val=&quot;00E13B16&quot;/&gt;&lt;wsp:rsid wsp:val=&quot;00E25CBF&quot;/&gt;&lt;wsp:rsid wsp:val=&quot;00E524D0&quot;/&gt;&lt;wsp:rsid wsp:val=&quot;00E56C39&quot;/&gt;&lt;wsp:rsid wsp:val=&quot;00E7769E&quot;/&gt;&lt;wsp:rsid wsp:val=&quot;00E846F9&quot;/&gt;&lt;wsp:rsid wsp:val=&quot;00E959DC&quot;/&gt;&lt;wsp:rsid wsp:val=&quot;00EA7990&quot;/&gt;&lt;wsp:rsid wsp:val=&quot;00EB31F2&quot;/&gt;&lt;wsp:rsid wsp:val=&quot;00EB37A1&quot;/&gt;&lt;wsp:rsid wsp:val=&quot;00EC7B40&quot;/&gt;&lt;wsp:rsid wsp:val=&quot;00ED2E01&quot;/&gt;&lt;wsp:rsid wsp:val=&quot;00EE1229&quot;/&gt;&lt;wsp:rsid wsp:val=&quot;00EE7C1E&quot;/&gt;&lt;wsp:rsid wsp:val=&quot;00EF1AAC&quot;/&gt;&lt;wsp:rsid wsp:val=&quot;00F000D6&quot;/&gt;&lt;wsp:rsid wsp:val=&quot;00F07B8D&quot;/&gt;&lt;wsp:rsid wsp:val=&quot;00F07BB6&quot;/&gt;&lt;wsp:rsid wsp:val=&quot;00F230BA&quot;/&gt;&lt;wsp:rsid wsp:val=&quot;00F23620&quot;/&gt;&lt;wsp:rsid wsp:val=&quot;00F26BD4&quot;/&gt;&lt;wsp:rsid wsp:val=&quot;00F2722D&quot;/&gt;&lt;wsp:rsid wsp:val=&quot;00F30FD9&quot;/&gt;&lt;wsp:rsid wsp:val=&quot;00F35A89&quot;/&gt;&lt;wsp:rsid wsp:val=&quot;00F52B54&quot;/&gt;&lt;wsp:rsid wsp:val=&quot;00F54E1F&quot;/&gt;&lt;wsp:rsid wsp:val=&quot;00F724AE&quot;/&gt;&lt;wsp:rsid wsp:val=&quot;00F74702&quot;/&gt;&lt;wsp:rsid wsp:val=&quot;00F82E18&quot;/&gt;&lt;wsp:rsid wsp:val=&quot;00F8300D&quot;/&gt;&lt;wsp:rsid wsp:val=&quot;00F961EA&quot;/&gt;&lt;wsp:rsid wsp:val=&quot;00F9692E&quot;/&gt;&lt;wsp:rsid wsp:val=&quot;00F97A0B&quot;/&gt;&lt;wsp:rsid wsp:val=&quot;00FA7BB7&quot;/&gt;&lt;wsp:rsid wsp:val=&quot;00FB0AB7&quot;/&gt;&lt;wsp:rsid wsp:val=&quot;00FB26B8&quot;/&gt;&lt;wsp:rsid wsp:val=&quot;00FB3362&quot;/&gt;&lt;wsp:rsid wsp:val=&quot;00FB75F3&quot;/&gt;&lt;wsp:rsid wsp:val=&quot;00FC5F97&quot;/&gt;&lt;wsp:rsid wsp:val=&quot;00FD43E6&quot;/&gt;&lt;wsp:rsid wsp:val=&quot;00FE1FEE&quot;/&gt;&lt;wsp:rsid wsp:val=&quot;00FE26CF&quot;/&gt;&lt;wsp:rsid wsp:val=&quot;00FE6A52&quot;/&gt;&lt;wsp:rsid wsp:val=&quot;00FE6C4F&quot;/&gt;&lt;wsp:rsid wsp:val=&quot;00FF4360&quot;/&gt;&lt;wsp:rsid wsp:val=&quot;00FF674A&quot;/&gt;&lt;/wsp:rsids&gt;&lt;/w:docPr&gt;&lt;w:body&gt;&lt;wx:sect&gt;&lt;w:p wsp:rsidR=&quot;00000000&quot; wsp:rsidRDefault=&quot;006869F0&quot; wsp:rsidP=&quot;006869F0&quot;&gt;&lt;m:oMathPara&gt;&lt;m:oMath&gt;&lt;m:sSub&gt;&lt;m:sSubPr&gt;&lt;m:ctrlPr&gt;&lt;w:rPr&gt;&lt;w:rFonts w:ascii=&quot;Cambria Math&quot; w:h-ansi=&quot;Cambria Math&quot; w:cs=&quot;Arial&quot;/&gt;&lt;wx:font wx:val=&quot;Cambria Math&quot;/&gt;&lt;w:sz-cs w:val=&quot;18&quot;/&gt;&lt;/w:rPr&gt;&lt;/m:ctrlPr&gt;&lt;/m:sSubPr&gt;&lt;m:e&gt;&lt;m:r&gt;&lt;m:rPr&gt;&lt;m:sty m:val=&quot;b&quot;/&gt;&lt;/m:rPr&gt;&lt;w:rPr&gt;&lt;w:rFonts w:ascii=&quot;Cambria Math&quot; w:h-ansi=&quot;Cambria Math&quot; w:cs=&quot;Arial&quot;/&gt;&lt;wx:font wx:val=&quot;Cambria Math&quot;/&gt;&lt;w:b/&gt;&lt;w:b-cs/&gt;&lt;w:sz-cs w:val=&quot;18&quot;/&gt;&lt;/w:rPr&gt;&lt;m:t&gt;P&lt;/m:t&gt;&lt;/m:r&gt;&lt;/m:e&gt;&lt;m:sub&gt;&lt;m:r&gt;&lt;m:rPr&gt;&lt;m:sty m:val=&quot;b&quot;/&gt;&lt;/m:rPr&gt;&lt;w:rPr&gt;&lt;w:rFonts w:ascii=&quot;Cambria Math&quot; w:h-ansi=&quot;Cambria Math&quot; w:cs=&quot;Arial&quot;/&gt;&lt;wx:font wx:val=&quot;Cambria Math&quot;/&gt;&lt;w:b/&gt;&lt;w:b-cs/&gt;&lt;w:sz-cs w:val=&quot;18&quot;/&gt;&lt;/w:rPr&gt;&lt;m:t&gt;swit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switcℎ</m:t>
                  </m:r>
                  <m:ctrlPr>
                    <w:rPr>
                      <w:rFonts w:ascii="Cambria Math" w:hAnsi="Cambria Math"/>
                      <w:i/>
                    </w:rPr>
                  </m:ctrlPr>
                </m:sub>
              </m:sSub>
            </m:oMath>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value for</w:t>
            </w:r>
          </w:p>
          <w:p>
            <w:pPr>
              <w:pStyle w:val="47"/>
              <w:rPr>
                <w:rFonts w:hint="default" w:ascii="Times New Roman" w:hAnsi="Times New Roman" w:cs="Times New Roman"/>
                <w:sz w:val="20"/>
                <w:szCs w:val="20"/>
              </w:rPr>
            </w:pPr>
            <w:r>
              <w:rPr>
                <w:rFonts w:hint="default" w:ascii="Times New Roman" w:hAnsi="Times New Roman" w:cs="Times New Roman"/>
                <w:sz w:val="20"/>
                <w:szCs w:val="20"/>
              </w:rPr>
              <w:t xml:space="preserve"> UE processing </w:t>
            </w:r>
            <w:r>
              <w:rPr>
                <w:rFonts w:hint="default" w:ascii="Times New Roman" w:hAnsi="Times New Roman" w:cs="Times New Roman"/>
                <w:sz w:val="20"/>
                <w:szCs w:val="20"/>
                <w:lang w:eastAsia="zh-CN"/>
              </w:rPr>
              <w:t>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3</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5</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6</w:t>
            </w:r>
          </w:p>
        </w:tc>
        <w:tc>
          <w:tcPr>
            <w:tcW w:w="3385" w:type="dxa"/>
            <w:noWrap w:val="0"/>
            <w:vAlign w:val="center"/>
          </w:tcPr>
          <w:p>
            <w:pPr>
              <w:pStyle w:val="48"/>
              <w:rPr>
                <w:rFonts w:hint="default" w:ascii="Times New Roman" w:hAnsi="Times New Roman" w:cs="Times New Roman"/>
                <w:b/>
                <w:sz w:val="20"/>
                <w:szCs w:val="20"/>
              </w:rPr>
            </w:pPr>
            <w:r>
              <w:rPr>
                <w:rFonts w:hint="default" w:ascii="Times New Roman" w:hAnsi="Times New Roman" w:cs="Times New Roman"/>
                <w:b/>
                <w:sz w:val="20"/>
                <w:szCs w:val="20"/>
              </w:rPr>
              <w:t>320</w:t>
            </w:r>
          </w:p>
        </w:tc>
      </w:tr>
    </w:tbl>
    <w:p>
      <w:pPr>
        <w:spacing w:after="180" w:line="260" w:lineRule="auto"/>
        <w:jc w:val="left"/>
        <w:rPr>
          <w:rFonts w:hint="eastAsia"/>
          <w:b/>
          <w:bCs w:val="0"/>
          <w:lang w:val="en-US" w:eastAsia="zh-CN"/>
        </w:rPr>
      </w:pPr>
    </w:p>
    <w:p>
      <w:pPr>
        <w:widowControl/>
        <w:spacing w:before="120" w:line="240" w:lineRule="auto"/>
        <w:jc w:val="both"/>
        <w:rPr>
          <w:b/>
          <w:bCs/>
          <w:lang w:val="en-GB"/>
        </w:rPr>
      </w:pPr>
      <w:r>
        <w:rPr>
          <w:rFonts w:hint="eastAsia" w:eastAsia="宋体"/>
          <w:b/>
          <w:bCs/>
          <w:lang w:val="en-US" w:eastAsia="zh-CN"/>
        </w:rPr>
        <w:t xml:space="preserve">Proposal 8: </w:t>
      </w:r>
      <w:r>
        <w:rPr>
          <w:b/>
          <w:bCs/>
          <w:lang w:val="en-GB"/>
        </w:rPr>
        <w:t>Cross-carrier scheduling of a cell within 52.6-71 GHz</w:t>
      </w:r>
      <w:r>
        <w:rPr>
          <w:rFonts w:hint="eastAsia" w:eastAsia="宋体"/>
          <w:b/>
          <w:bCs/>
          <w:lang w:val="en-US" w:eastAsia="zh-CN"/>
        </w:rPr>
        <w:t xml:space="preserve"> band</w:t>
      </w:r>
      <w:r>
        <w:rPr>
          <w:b/>
          <w:bCs/>
          <w:lang w:val="en-GB"/>
        </w:rPr>
        <w:t xml:space="preserve"> from/to a cell </w:t>
      </w:r>
      <w:r>
        <w:rPr>
          <w:rFonts w:hint="eastAsia" w:eastAsia="宋体"/>
          <w:b/>
          <w:bCs/>
          <w:lang w:val="en-US" w:eastAsia="zh-CN"/>
        </w:rPr>
        <w:t>within FR1/FR2-1</w:t>
      </w:r>
      <w:r>
        <w:rPr>
          <w:b/>
          <w:bCs/>
          <w:lang w:val="en-GB"/>
        </w:rPr>
        <w:t xml:space="preserve"> is supported</w:t>
      </w:r>
      <w:r>
        <w:rPr>
          <w:rFonts w:hint="eastAsia" w:eastAsia="宋体"/>
          <w:b/>
          <w:bCs/>
          <w:lang w:val="en-US" w:eastAsia="zh-CN"/>
        </w:rPr>
        <w:t xml:space="preserve"> and a UE supporting 480 kHz and 960 kHz SCS supports cross-carrier scheduling</w:t>
      </w:r>
      <w:r>
        <w:rPr>
          <w:b/>
          <w:bCs/>
          <w:lang w:val="en-GB"/>
        </w:rPr>
        <w:t>.</w:t>
      </w: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14"/>
        </w:numPr>
        <w:autoSpaceDE w:val="0"/>
        <w:autoSpaceDN w:val="0"/>
        <w:adjustRightInd w:val="0"/>
        <w:spacing w:after="72" w:afterLines="30" w:line="240" w:lineRule="auto"/>
        <w:jc w:val="both"/>
      </w:pPr>
      <w:r>
        <w:t>RAN1 #10</w:t>
      </w:r>
      <w:r>
        <w:rPr>
          <w:rFonts w:hint="eastAsia" w:eastAsia="宋体"/>
          <w:lang w:val="en-US" w:eastAsia="zh-CN"/>
        </w:rPr>
        <w:t>7-</w:t>
      </w:r>
      <w:r>
        <w:t>e chairman’s notes</w:t>
      </w:r>
    </w:p>
    <w:p>
      <w:pPr>
        <w:widowControl w:val="0"/>
        <w:numPr>
          <w:ilvl w:val="0"/>
          <w:numId w:val="14"/>
        </w:numPr>
        <w:autoSpaceDE w:val="0"/>
        <w:autoSpaceDN w:val="0"/>
        <w:adjustRightInd w:val="0"/>
        <w:spacing w:after="72" w:afterLines="30" w:line="240" w:lineRule="auto"/>
        <w:jc w:val="both"/>
      </w:pPr>
      <w:r>
        <w:rPr>
          <w:rFonts w:hint="eastAsia" w:eastAsia="宋体"/>
          <w:bCs/>
          <w:lang w:val="en-US" w:eastAsia="zh-CN"/>
        </w:rPr>
        <w:t>R</w:t>
      </w:r>
      <w:r>
        <w:rPr>
          <w:bCs/>
        </w:rPr>
        <w:t>1-21</w:t>
      </w:r>
      <w:r>
        <w:rPr>
          <w:rFonts w:hint="eastAsia" w:eastAsia="宋体"/>
          <w:bCs/>
          <w:lang w:val="en-US" w:eastAsia="zh-CN"/>
        </w:rPr>
        <w:t>12755</w:t>
      </w:r>
      <w:r>
        <w:rPr>
          <w:bCs/>
          <w:lang w:val="en-US" w:eastAsia="zh-CN"/>
        </w:rPr>
        <w:t xml:space="preserve">, </w:t>
      </w:r>
      <w:r>
        <w:rPr>
          <w:bCs/>
        </w:rPr>
        <w:t>Feature lead summary #</w:t>
      </w:r>
      <w:r>
        <w:rPr>
          <w:rFonts w:hint="eastAsia" w:eastAsia="宋体"/>
          <w:bCs/>
          <w:lang w:val="en-US" w:eastAsia="zh-CN"/>
        </w:rPr>
        <w:t>4</w:t>
      </w:r>
      <w:r>
        <w:rPr>
          <w:bCs/>
        </w:rPr>
        <w:t xml:space="preserve"> for</w:t>
      </w:r>
      <w:r>
        <w:rPr>
          <w:rFonts w:hint="eastAsia" w:eastAsia="宋体"/>
          <w:bCs/>
          <w:lang w:val="en-US" w:eastAsia="zh-CN"/>
        </w:rPr>
        <w:t xml:space="preserve"> B52.6 GHz</w:t>
      </w:r>
      <w:r>
        <w:rPr>
          <w:bCs/>
        </w:rPr>
        <w:t xml:space="preserve"> PDCCH Monitoring Enhancements</w:t>
      </w:r>
      <w:r>
        <w:rPr>
          <w:rFonts w:hint="eastAsia" w:eastAsia="宋体"/>
          <w:bCs/>
          <w:lang w:val="en-US" w:eastAsia="zh-CN"/>
        </w:rPr>
        <w:t>, Moderator (Lenovo)</w:t>
      </w:r>
    </w:p>
    <w:p>
      <w:pPr>
        <w:widowControl w:val="0"/>
        <w:numPr>
          <w:ilvl w:val="0"/>
          <w:numId w:val="14"/>
        </w:numPr>
        <w:autoSpaceDE w:val="0"/>
        <w:autoSpaceDN w:val="0"/>
        <w:adjustRightInd w:val="0"/>
        <w:spacing w:after="72" w:afterLines="30" w:line="240" w:lineRule="auto"/>
        <w:jc w:val="both"/>
        <w:rPr>
          <w:rFonts w:hint="default"/>
          <w:lang w:val="en-US" w:eastAsia="zh-CN"/>
        </w:rPr>
      </w:pPr>
      <w:r>
        <w:rPr>
          <w:rFonts w:hint="eastAsia"/>
          <w:bCs/>
          <w:lang w:val="en-US" w:eastAsia="zh-CN"/>
        </w:rPr>
        <w:t>R1-2112931, Introduction for extending NR operation to 71 GHz, 38.213 CR</w:t>
      </w: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7</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07679AE"/>
    <w:multiLevelType w:val="multilevel"/>
    <w:tmpl w:val="507679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B503A4A"/>
    <w:multiLevelType w:val="multilevel"/>
    <w:tmpl w:val="6B503A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FA0B93"/>
    <w:multiLevelType w:val="multilevel"/>
    <w:tmpl w:val="7BFA0B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9"/>
  </w:num>
  <w:num w:numId="4">
    <w:abstractNumId w:val="12"/>
  </w:num>
  <w:num w:numId="5">
    <w:abstractNumId w:val="3"/>
  </w:num>
  <w:num w:numId="6">
    <w:abstractNumId w:val="7"/>
  </w:num>
  <w:num w:numId="7">
    <w:abstractNumId w:val="4"/>
  </w:num>
  <w:num w:numId="8">
    <w:abstractNumId w:val="0"/>
  </w:num>
  <w:num w:numId="9">
    <w:abstractNumId w:val="10"/>
  </w:num>
  <w:num w:numId="10">
    <w:abstractNumId w:val="1"/>
  </w:num>
  <w:num w:numId="11">
    <w:abstractNumId w:val="8"/>
  </w:num>
  <w:num w:numId="12">
    <w:abstractNumId w:val="13"/>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4CF"/>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BC9"/>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0D"/>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4EDF"/>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6FC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0FF8"/>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DF7"/>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CD"/>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09A"/>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37"/>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6F0C"/>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3F0C"/>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CFD"/>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2F"/>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B14F5"/>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EE1FA3"/>
    <w:rsid w:val="01F0730D"/>
    <w:rsid w:val="01F37778"/>
    <w:rsid w:val="01FC6829"/>
    <w:rsid w:val="02016BC8"/>
    <w:rsid w:val="02052204"/>
    <w:rsid w:val="0207247E"/>
    <w:rsid w:val="0218641B"/>
    <w:rsid w:val="02351B15"/>
    <w:rsid w:val="023D68E9"/>
    <w:rsid w:val="024D11F3"/>
    <w:rsid w:val="02567B4A"/>
    <w:rsid w:val="025A2B48"/>
    <w:rsid w:val="025B6E07"/>
    <w:rsid w:val="02622CBC"/>
    <w:rsid w:val="026E3A52"/>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60AE6"/>
    <w:rsid w:val="030C5E59"/>
    <w:rsid w:val="03127134"/>
    <w:rsid w:val="03131BEB"/>
    <w:rsid w:val="03180265"/>
    <w:rsid w:val="031923E9"/>
    <w:rsid w:val="031E7C2A"/>
    <w:rsid w:val="03244425"/>
    <w:rsid w:val="032C3F12"/>
    <w:rsid w:val="032F2781"/>
    <w:rsid w:val="03335414"/>
    <w:rsid w:val="03380EE2"/>
    <w:rsid w:val="034800C3"/>
    <w:rsid w:val="036452B0"/>
    <w:rsid w:val="0365180A"/>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5FB5ECE"/>
    <w:rsid w:val="060D5AA5"/>
    <w:rsid w:val="061A06CE"/>
    <w:rsid w:val="06261750"/>
    <w:rsid w:val="06276042"/>
    <w:rsid w:val="06340A05"/>
    <w:rsid w:val="063B1FB2"/>
    <w:rsid w:val="063D7168"/>
    <w:rsid w:val="06485014"/>
    <w:rsid w:val="06496A78"/>
    <w:rsid w:val="065E0C63"/>
    <w:rsid w:val="066D645E"/>
    <w:rsid w:val="066F17E0"/>
    <w:rsid w:val="067A3DAD"/>
    <w:rsid w:val="0686332F"/>
    <w:rsid w:val="06864253"/>
    <w:rsid w:val="06A159E1"/>
    <w:rsid w:val="06A43D59"/>
    <w:rsid w:val="06A54B41"/>
    <w:rsid w:val="06AB43A3"/>
    <w:rsid w:val="06BC0D78"/>
    <w:rsid w:val="06C074EB"/>
    <w:rsid w:val="06C1240E"/>
    <w:rsid w:val="06C46BF4"/>
    <w:rsid w:val="06CB725E"/>
    <w:rsid w:val="06E1290F"/>
    <w:rsid w:val="06F76AE6"/>
    <w:rsid w:val="07015EFA"/>
    <w:rsid w:val="0707006E"/>
    <w:rsid w:val="070B2CE3"/>
    <w:rsid w:val="070B663F"/>
    <w:rsid w:val="072922C5"/>
    <w:rsid w:val="072F6CF4"/>
    <w:rsid w:val="0734615D"/>
    <w:rsid w:val="07350C6A"/>
    <w:rsid w:val="0735734E"/>
    <w:rsid w:val="07377DDC"/>
    <w:rsid w:val="07386D83"/>
    <w:rsid w:val="073B19BC"/>
    <w:rsid w:val="074A4044"/>
    <w:rsid w:val="074B35A5"/>
    <w:rsid w:val="07826DCD"/>
    <w:rsid w:val="07846AF4"/>
    <w:rsid w:val="07871DCC"/>
    <w:rsid w:val="078B07F9"/>
    <w:rsid w:val="078B5215"/>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9E3E2A"/>
    <w:rsid w:val="08A32F8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5F2398"/>
    <w:rsid w:val="09736BC3"/>
    <w:rsid w:val="0974287E"/>
    <w:rsid w:val="098012A2"/>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75DCF"/>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B68BA"/>
    <w:rsid w:val="0A8D2821"/>
    <w:rsid w:val="0AA061D5"/>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C77165"/>
    <w:rsid w:val="0BD53636"/>
    <w:rsid w:val="0BDB773F"/>
    <w:rsid w:val="0BDC0F5C"/>
    <w:rsid w:val="0BE54882"/>
    <w:rsid w:val="0BE64F43"/>
    <w:rsid w:val="0BE9464C"/>
    <w:rsid w:val="0BE96CDD"/>
    <w:rsid w:val="0BF17147"/>
    <w:rsid w:val="0BF22E42"/>
    <w:rsid w:val="0BF454E9"/>
    <w:rsid w:val="0BF61798"/>
    <w:rsid w:val="0BF61FC1"/>
    <w:rsid w:val="0C0016BA"/>
    <w:rsid w:val="0C090EA4"/>
    <w:rsid w:val="0C0C05C8"/>
    <w:rsid w:val="0C0E3321"/>
    <w:rsid w:val="0C1C3753"/>
    <w:rsid w:val="0C30263B"/>
    <w:rsid w:val="0C3A46A5"/>
    <w:rsid w:val="0C473253"/>
    <w:rsid w:val="0C4E0C88"/>
    <w:rsid w:val="0C4E3D8E"/>
    <w:rsid w:val="0C4F022E"/>
    <w:rsid w:val="0C5170A3"/>
    <w:rsid w:val="0C630475"/>
    <w:rsid w:val="0C6D1617"/>
    <w:rsid w:val="0C753611"/>
    <w:rsid w:val="0C7E1A50"/>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9D3185"/>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617E9F"/>
    <w:rsid w:val="0F716578"/>
    <w:rsid w:val="0F753AEF"/>
    <w:rsid w:val="0F8D0B4E"/>
    <w:rsid w:val="0F8F102F"/>
    <w:rsid w:val="0FA470F8"/>
    <w:rsid w:val="0FB5088D"/>
    <w:rsid w:val="0FB97767"/>
    <w:rsid w:val="0FBF1A56"/>
    <w:rsid w:val="0FBF3418"/>
    <w:rsid w:val="0FC46A56"/>
    <w:rsid w:val="0FC57BB8"/>
    <w:rsid w:val="0FD6188A"/>
    <w:rsid w:val="0FD8292B"/>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61102"/>
    <w:rsid w:val="10797EF4"/>
    <w:rsid w:val="107D3C0E"/>
    <w:rsid w:val="1083031A"/>
    <w:rsid w:val="108778E8"/>
    <w:rsid w:val="109821F7"/>
    <w:rsid w:val="10A15189"/>
    <w:rsid w:val="10AF75A3"/>
    <w:rsid w:val="10B47A73"/>
    <w:rsid w:val="10B62B53"/>
    <w:rsid w:val="10B81757"/>
    <w:rsid w:val="10B87138"/>
    <w:rsid w:val="10BF2E44"/>
    <w:rsid w:val="10D00203"/>
    <w:rsid w:val="10D32F67"/>
    <w:rsid w:val="10D54519"/>
    <w:rsid w:val="10D57474"/>
    <w:rsid w:val="10DC0B31"/>
    <w:rsid w:val="10E91A4C"/>
    <w:rsid w:val="10ED7F30"/>
    <w:rsid w:val="10F62C5E"/>
    <w:rsid w:val="10F74BB7"/>
    <w:rsid w:val="10F87453"/>
    <w:rsid w:val="10FF2F5F"/>
    <w:rsid w:val="11083C1F"/>
    <w:rsid w:val="11163D3E"/>
    <w:rsid w:val="11272C1C"/>
    <w:rsid w:val="112F01F3"/>
    <w:rsid w:val="11362E5F"/>
    <w:rsid w:val="113F6847"/>
    <w:rsid w:val="11477748"/>
    <w:rsid w:val="11573160"/>
    <w:rsid w:val="116327EE"/>
    <w:rsid w:val="116739ED"/>
    <w:rsid w:val="117C5B35"/>
    <w:rsid w:val="11945699"/>
    <w:rsid w:val="119734D3"/>
    <w:rsid w:val="119A1E99"/>
    <w:rsid w:val="119D2515"/>
    <w:rsid w:val="11A3386B"/>
    <w:rsid w:val="11AF7FCE"/>
    <w:rsid w:val="11BB4CD7"/>
    <w:rsid w:val="11C23717"/>
    <w:rsid w:val="11C43249"/>
    <w:rsid w:val="11C60A1A"/>
    <w:rsid w:val="11DA3226"/>
    <w:rsid w:val="11DA7C8F"/>
    <w:rsid w:val="11DD2374"/>
    <w:rsid w:val="11E21C10"/>
    <w:rsid w:val="11E665D7"/>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661C4"/>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47C68"/>
    <w:rsid w:val="13DE3682"/>
    <w:rsid w:val="13E44672"/>
    <w:rsid w:val="13EB3632"/>
    <w:rsid w:val="13ED26CD"/>
    <w:rsid w:val="14237882"/>
    <w:rsid w:val="143E1552"/>
    <w:rsid w:val="143F6AFF"/>
    <w:rsid w:val="14636334"/>
    <w:rsid w:val="146B0173"/>
    <w:rsid w:val="14870828"/>
    <w:rsid w:val="14920E25"/>
    <w:rsid w:val="1498573C"/>
    <w:rsid w:val="14991CB0"/>
    <w:rsid w:val="14A1759C"/>
    <w:rsid w:val="14B204D7"/>
    <w:rsid w:val="14B75A7E"/>
    <w:rsid w:val="14C155EF"/>
    <w:rsid w:val="14C82B34"/>
    <w:rsid w:val="14D55947"/>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40CE3"/>
    <w:rsid w:val="156B69AA"/>
    <w:rsid w:val="15700B17"/>
    <w:rsid w:val="15804889"/>
    <w:rsid w:val="1584685F"/>
    <w:rsid w:val="158570C9"/>
    <w:rsid w:val="1592090C"/>
    <w:rsid w:val="159B4CCA"/>
    <w:rsid w:val="159D5808"/>
    <w:rsid w:val="15A46E63"/>
    <w:rsid w:val="15A52865"/>
    <w:rsid w:val="15A8233B"/>
    <w:rsid w:val="15AB3CC0"/>
    <w:rsid w:val="15B45159"/>
    <w:rsid w:val="15C562E2"/>
    <w:rsid w:val="15CB33A7"/>
    <w:rsid w:val="15CF116D"/>
    <w:rsid w:val="15D03364"/>
    <w:rsid w:val="15DF61C4"/>
    <w:rsid w:val="15F62CC1"/>
    <w:rsid w:val="15F725BC"/>
    <w:rsid w:val="15FA7C65"/>
    <w:rsid w:val="16060241"/>
    <w:rsid w:val="16081ED8"/>
    <w:rsid w:val="16095AFF"/>
    <w:rsid w:val="160A5000"/>
    <w:rsid w:val="160D102D"/>
    <w:rsid w:val="161E428D"/>
    <w:rsid w:val="1624479C"/>
    <w:rsid w:val="16270C37"/>
    <w:rsid w:val="162B3FD9"/>
    <w:rsid w:val="163539B0"/>
    <w:rsid w:val="163618FC"/>
    <w:rsid w:val="163A4FD7"/>
    <w:rsid w:val="16482066"/>
    <w:rsid w:val="165243D6"/>
    <w:rsid w:val="1654399A"/>
    <w:rsid w:val="16553AA9"/>
    <w:rsid w:val="166415C4"/>
    <w:rsid w:val="167004C7"/>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75810"/>
    <w:rsid w:val="1758341D"/>
    <w:rsid w:val="176075D3"/>
    <w:rsid w:val="176209E7"/>
    <w:rsid w:val="1768007F"/>
    <w:rsid w:val="176A68C8"/>
    <w:rsid w:val="17870808"/>
    <w:rsid w:val="1798692F"/>
    <w:rsid w:val="17A6334D"/>
    <w:rsid w:val="17AE317B"/>
    <w:rsid w:val="17AE70D6"/>
    <w:rsid w:val="17B85BBA"/>
    <w:rsid w:val="17CD6181"/>
    <w:rsid w:val="17DE72B7"/>
    <w:rsid w:val="17E20D1C"/>
    <w:rsid w:val="17F70F34"/>
    <w:rsid w:val="17F738E5"/>
    <w:rsid w:val="18321DF7"/>
    <w:rsid w:val="1837788C"/>
    <w:rsid w:val="184173E8"/>
    <w:rsid w:val="18441338"/>
    <w:rsid w:val="184C0F15"/>
    <w:rsid w:val="18545A97"/>
    <w:rsid w:val="185826DA"/>
    <w:rsid w:val="185A5120"/>
    <w:rsid w:val="18611EA0"/>
    <w:rsid w:val="18653077"/>
    <w:rsid w:val="186E2B2D"/>
    <w:rsid w:val="187619E6"/>
    <w:rsid w:val="187E5D26"/>
    <w:rsid w:val="1894179F"/>
    <w:rsid w:val="18A116BD"/>
    <w:rsid w:val="18AD2830"/>
    <w:rsid w:val="18AD518E"/>
    <w:rsid w:val="18BB4C10"/>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617053"/>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E7919"/>
    <w:rsid w:val="1C2F45BE"/>
    <w:rsid w:val="1C316715"/>
    <w:rsid w:val="1C377675"/>
    <w:rsid w:val="1C3D50A3"/>
    <w:rsid w:val="1C4F06A2"/>
    <w:rsid w:val="1C757F7F"/>
    <w:rsid w:val="1C787286"/>
    <w:rsid w:val="1C7A531A"/>
    <w:rsid w:val="1C7B3EC6"/>
    <w:rsid w:val="1C7D7EB8"/>
    <w:rsid w:val="1C800FF8"/>
    <w:rsid w:val="1C8801E2"/>
    <w:rsid w:val="1C923771"/>
    <w:rsid w:val="1C924399"/>
    <w:rsid w:val="1C9A5EA0"/>
    <w:rsid w:val="1C9A6A63"/>
    <w:rsid w:val="1C9F6C4A"/>
    <w:rsid w:val="1CBB0F59"/>
    <w:rsid w:val="1CBB7CFB"/>
    <w:rsid w:val="1CBE2DAD"/>
    <w:rsid w:val="1CC7659B"/>
    <w:rsid w:val="1CCF089C"/>
    <w:rsid w:val="1CD41FC4"/>
    <w:rsid w:val="1CD955BC"/>
    <w:rsid w:val="1CF52455"/>
    <w:rsid w:val="1CFB4DD2"/>
    <w:rsid w:val="1CFD2C50"/>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87694"/>
    <w:rsid w:val="1DCB08F7"/>
    <w:rsid w:val="1DE207F5"/>
    <w:rsid w:val="1DFC1FAF"/>
    <w:rsid w:val="1E042D27"/>
    <w:rsid w:val="1E0C16EA"/>
    <w:rsid w:val="1E0E23C8"/>
    <w:rsid w:val="1E155BC5"/>
    <w:rsid w:val="1E365099"/>
    <w:rsid w:val="1E377012"/>
    <w:rsid w:val="1E3C35CE"/>
    <w:rsid w:val="1E440A9D"/>
    <w:rsid w:val="1E4E7A0E"/>
    <w:rsid w:val="1E4F1888"/>
    <w:rsid w:val="1E5A7EBF"/>
    <w:rsid w:val="1E626360"/>
    <w:rsid w:val="1E742DF8"/>
    <w:rsid w:val="1E750074"/>
    <w:rsid w:val="1E7D153B"/>
    <w:rsid w:val="1E9F341B"/>
    <w:rsid w:val="1EA42A59"/>
    <w:rsid w:val="1EA569F7"/>
    <w:rsid w:val="1EAC5F6A"/>
    <w:rsid w:val="1EB1048D"/>
    <w:rsid w:val="1EB23F53"/>
    <w:rsid w:val="1EB31AED"/>
    <w:rsid w:val="1EBB6441"/>
    <w:rsid w:val="1ED214E6"/>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7223D"/>
    <w:rsid w:val="1F690D21"/>
    <w:rsid w:val="1F743C11"/>
    <w:rsid w:val="1F7B76BF"/>
    <w:rsid w:val="1F7C26CB"/>
    <w:rsid w:val="1F7F7D85"/>
    <w:rsid w:val="1F885D57"/>
    <w:rsid w:val="1FA27229"/>
    <w:rsid w:val="1FA6339C"/>
    <w:rsid w:val="1FB11014"/>
    <w:rsid w:val="1FBB763F"/>
    <w:rsid w:val="1FBC79E0"/>
    <w:rsid w:val="1FC74197"/>
    <w:rsid w:val="1FCC1591"/>
    <w:rsid w:val="1FD27016"/>
    <w:rsid w:val="1FD479BA"/>
    <w:rsid w:val="1FD55230"/>
    <w:rsid w:val="1FD641AB"/>
    <w:rsid w:val="1FE15B0A"/>
    <w:rsid w:val="1FE854DC"/>
    <w:rsid w:val="20006656"/>
    <w:rsid w:val="20084F74"/>
    <w:rsid w:val="200C6F0C"/>
    <w:rsid w:val="201D4044"/>
    <w:rsid w:val="201E5A7F"/>
    <w:rsid w:val="20213B0F"/>
    <w:rsid w:val="20252FCF"/>
    <w:rsid w:val="202C6A57"/>
    <w:rsid w:val="20323C6D"/>
    <w:rsid w:val="20347263"/>
    <w:rsid w:val="203E746B"/>
    <w:rsid w:val="20450A76"/>
    <w:rsid w:val="20455F9C"/>
    <w:rsid w:val="20484A82"/>
    <w:rsid w:val="205358CB"/>
    <w:rsid w:val="20543631"/>
    <w:rsid w:val="20565824"/>
    <w:rsid w:val="20734912"/>
    <w:rsid w:val="208B227B"/>
    <w:rsid w:val="208B79B3"/>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53384"/>
    <w:rsid w:val="21B92386"/>
    <w:rsid w:val="21CC6790"/>
    <w:rsid w:val="21CD03F5"/>
    <w:rsid w:val="21CD469C"/>
    <w:rsid w:val="21CF7D11"/>
    <w:rsid w:val="21D33ED7"/>
    <w:rsid w:val="21D71CCE"/>
    <w:rsid w:val="21D90300"/>
    <w:rsid w:val="21DB194C"/>
    <w:rsid w:val="21E52F02"/>
    <w:rsid w:val="21E7264A"/>
    <w:rsid w:val="21EB7BC0"/>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2A1"/>
    <w:rsid w:val="22B34785"/>
    <w:rsid w:val="22B37922"/>
    <w:rsid w:val="22B45A21"/>
    <w:rsid w:val="22CA15E4"/>
    <w:rsid w:val="22D04F77"/>
    <w:rsid w:val="22F149E7"/>
    <w:rsid w:val="22FA02E3"/>
    <w:rsid w:val="22FD52E0"/>
    <w:rsid w:val="23151BBD"/>
    <w:rsid w:val="232064A5"/>
    <w:rsid w:val="232A5F2C"/>
    <w:rsid w:val="234902A8"/>
    <w:rsid w:val="234A49FF"/>
    <w:rsid w:val="2352170F"/>
    <w:rsid w:val="23533331"/>
    <w:rsid w:val="23537622"/>
    <w:rsid w:val="236739BC"/>
    <w:rsid w:val="237E7F63"/>
    <w:rsid w:val="238718C4"/>
    <w:rsid w:val="238C26AF"/>
    <w:rsid w:val="239154F8"/>
    <w:rsid w:val="239867D3"/>
    <w:rsid w:val="23A60BED"/>
    <w:rsid w:val="23AF20CF"/>
    <w:rsid w:val="23BE0C34"/>
    <w:rsid w:val="23EE567F"/>
    <w:rsid w:val="23FE39DA"/>
    <w:rsid w:val="24065B68"/>
    <w:rsid w:val="241B4EFA"/>
    <w:rsid w:val="2422724B"/>
    <w:rsid w:val="243D3FB5"/>
    <w:rsid w:val="245B7134"/>
    <w:rsid w:val="246F1B15"/>
    <w:rsid w:val="24794BB2"/>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873F1"/>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318BD"/>
    <w:rsid w:val="26095F44"/>
    <w:rsid w:val="261B01E3"/>
    <w:rsid w:val="261D73E8"/>
    <w:rsid w:val="263142D4"/>
    <w:rsid w:val="26447916"/>
    <w:rsid w:val="265E0639"/>
    <w:rsid w:val="2661284F"/>
    <w:rsid w:val="266866BD"/>
    <w:rsid w:val="26696824"/>
    <w:rsid w:val="266C42F7"/>
    <w:rsid w:val="267109C3"/>
    <w:rsid w:val="267365C7"/>
    <w:rsid w:val="268A5924"/>
    <w:rsid w:val="268C5E98"/>
    <w:rsid w:val="26972C43"/>
    <w:rsid w:val="26A47A01"/>
    <w:rsid w:val="26CB7903"/>
    <w:rsid w:val="26D11F9C"/>
    <w:rsid w:val="26D771E7"/>
    <w:rsid w:val="26DD35B9"/>
    <w:rsid w:val="26E66172"/>
    <w:rsid w:val="26ED2E1C"/>
    <w:rsid w:val="26EF6891"/>
    <w:rsid w:val="26F82DE5"/>
    <w:rsid w:val="270428B2"/>
    <w:rsid w:val="27064754"/>
    <w:rsid w:val="271313BF"/>
    <w:rsid w:val="27190AE2"/>
    <w:rsid w:val="2728538E"/>
    <w:rsid w:val="272F28E5"/>
    <w:rsid w:val="273E000B"/>
    <w:rsid w:val="2754776F"/>
    <w:rsid w:val="275A49BC"/>
    <w:rsid w:val="275C1141"/>
    <w:rsid w:val="276023AE"/>
    <w:rsid w:val="27685C29"/>
    <w:rsid w:val="276E5D6B"/>
    <w:rsid w:val="276F6AD9"/>
    <w:rsid w:val="277C70AE"/>
    <w:rsid w:val="278630A6"/>
    <w:rsid w:val="2786663F"/>
    <w:rsid w:val="27900FF1"/>
    <w:rsid w:val="27A2492F"/>
    <w:rsid w:val="27A26DCC"/>
    <w:rsid w:val="27A31B4E"/>
    <w:rsid w:val="27B947C2"/>
    <w:rsid w:val="27DB36C2"/>
    <w:rsid w:val="27DB4429"/>
    <w:rsid w:val="27EE4629"/>
    <w:rsid w:val="27EF0EAD"/>
    <w:rsid w:val="28052235"/>
    <w:rsid w:val="281430C3"/>
    <w:rsid w:val="28152F24"/>
    <w:rsid w:val="281671B7"/>
    <w:rsid w:val="281E3EAE"/>
    <w:rsid w:val="28270174"/>
    <w:rsid w:val="28395805"/>
    <w:rsid w:val="285D13A9"/>
    <w:rsid w:val="28621496"/>
    <w:rsid w:val="28650D72"/>
    <w:rsid w:val="2880449B"/>
    <w:rsid w:val="289813BC"/>
    <w:rsid w:val="28A742C0"/>
    <w:rsid w:val="28B16BAC"/>
    <w:rsid w:val="28B222C6"/>
    <w:rsid w:val="28BC08CE"/>
    <w:rsid w:val="28CF2CCD"/>
    <w:rsid w:val="28D334D0"/>
    <w:rsid w:val="28D701CA"/>
    <w:rsid w:val="28DC2D9C"/>
    <w:rsid w:val="28E04CC8"/>
    <w:rsid w:val="28EB5815"/>
    <w:rsid w:val="28EC35B0"/>
    <w:rsid w:val="28F905BC"/>
    <w:rsid w:val="28FA5BE1"/>
    <w:rsid w:val="2903032F"/>
    <w:rsid w:val="290403ED"/>
    <w:rsid w:val="29065C1C"/>
    <w:rsid w:val="290B3ADD"/>
    <w:rsid w:val="29242AD0"/>
    <w:rsid w:val="29251C92"/>
    <w:rsid w:val="2938134F"/>
    <w:rsid w:val="29415D74"/>
    <w:rsid w:val="29421D49"/>
    <w:rsid w:val="294228F6"/>
    <w:rsid w:val="2954117E"/>
    <w:rsid w:val="295B0F1F"/>
    <w:rsid w:val="295B72FD"/>
    <w:rsid w:val="296854E7"/>
    <w:rsid w:val="29685971"/>
    <w:rsid w:val="29694265"/>
    <w:rsid w:val="296D615D"/>
    <w:rsid w:val="296E145D"/>
    <w:rsid w:val="29703F71"/>
    <w:rsid w:val="29705FD0"/>
    <w:rsid w:val="297A08C7"/>
    <w:rsid w:val="297A51BC"/>
    <w:rsid w:val="298D58DE"/>
    <w:rsid w:val="299D603F"/>
    <w:rsid w:val="29A9096D"/>
    <w:rsid w:val="29C80DF2"/>
    <w:rsid w:val="29D2154B"/>
    <w:rsid w:val="29EA7C93"/>
    <w:rsid w:val="29F31B60"/>
    <w:rsid w:val="29FD3CFC"/>
    <w:rsid w:val="29FF2DEE"/>
    <w:rsid w:val="2A010675"/>
    <w:rsid w:val="2A0555DF"/>
    <w:rsid w:val="2A074829"/>
    <w:rsid w:val="2A14007E"/>
    <w:rsid w:val="2A164EBF"/>
    <w:rsid w:val="2A1F294B"/>
    <w:rsid w:val="2A203DF6"/>
    <w:rsid w:val="2A397752"/>
    <w:rsid w:val="2A3D2220"/>
    <w:rsid w:val="2A460ABD"/>
    <w:rsid w:val="2A483EE6"/>
    <w:rsid w:val="2A4D0763"/>
    <w:rsid w:val="2A55053C"/>
    <w:rsid w:val="2A612E01"/>
    <w:rsid w:val="2A63223B"/>
    <w:rsid w:val="2A6625BB"/>
    <w:rsid w:val="2A69502D"/>
    <w:rsid w:val="2A6F665D"/>
    <w:rsid w:val="2A7B1A6A"/>
    <w:rsid w:val="2A955755"/>
    <w:rsid w:val="2AA71F23"/>
    <w:rsid w:val="2AA824F5"/>
    <w:rsid w:val="2AAC31F0"/>
    <w:rsid w:val="2AAF4827"/>
    <w:rsid w:val="2AB17574"/>
    <w:rsid w:val="2AB87157"/>
    <w:rsid w:val="2ABA6525"/>
    <w:rsid w:val="2AC65178"/>
    <w:rsid w:val="2ACD11D1"/>
    <w:rsid w:val="2AD212BC"/>
    <w:rsid w:val="2AD35375"/>
    <w:rsid w:val="2AE62A58"/>
    <w:rsid w:val="2AF81ECB"/>
    <w:rsid w:val="2AF87E90"/>
    <w:rsid w:val="2AFF1DEE"/>
    <w:rsid w:val="2B030144"/>
    <w:rsid w:val="2B0C1692"/>
    <w:rsid w:val="2B0E023E"/>
    <w:rsid w:val="2B0F327D"/>
    <w:rsid w:val="2B1508C6"/>
    <w:rsid w:val="2B181E15"/>
    <w:rsid w:val="2B1D5E9C"/>
    <w:rsid w:val="2B1F7E02"/>
    <w:rsid w:val="2B243409"/>
    <w:rsid w:val="2B275FA7"/>
    <w:rsid w:val="2B310AA4"/>
    <w:rsid w:val="2B34404C"/>
    <w:rsid w:val="2B3B3627"/>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22DE8"/>
    <w:rsid w:val="2D533456"/>
    <w:rsid w:val="2D5809C0"/>
    <w:rsid w:val="2D614A43"/>
    <w:rsid w:val="2D623805"/>
    <w:rsid w:val="2D6D3CA2"/>
    <w:rsid w:val="2D7048BA"/>
    <w:rsid w:val="2D781D43"/>
    <w:rsid w:val="2D7D7121"/>
    <w:rsid w:val="2D854A69"/>
    <w:rsid w:val="2DA74F81"/>
    <w:rsid w:val="2DAB42E1"/>
    <w:rsid w:val="2DB26597"/>
    <w:rsid w:val="2DB5614E"/>
    <w:rsid w:val="2DCB194C"/>
    <w:rsid w:val="2DD47F28"/>
    <w:rsid w:val="2DD66EDF"/>
    <w:rsid w:val="2DDF642E"/>
    <w:rsid w:val="2DE32A97"/>
    <w:rsid w:val="2DE7057C"/>
    <w:rsid w:val="2DF635D7"/>
    <w:rsid w:val="2E056DE4"/>
    <w:rsid w:val="2E066EF7"/>
    <w:rsid w:val="2E0901D2"/>
    <w:rsid w:val="2E203718"/>
    <w:rsid w:val="2E234CF1"/>
    <w:rsid w:val="2E2746AE"/>
    <w:rsid w:val="2E2C6D07"/>
    <w:rsid w:val="2E2F6083"/>
    <w:rsid w:val="2E454D2B"/>
    <w:rsid w:val="2E465602"/>
    <w:rsid w:val="2E572CC0"/>
    <w:rsid w:val="2E5863B2"/>
    <w:rsid w:val="2E731405"/>
    <w:rsid w:val="2EA13F74"/>
    <w:rsid w:val="2EB005F7"/>
    <w:rsid w:val="2EB14523"/>
    <w:rsid w:val="2EB5032D"/>
    <w:rsid w:val="2ED42187"/>
    <w:rsid w:val="2EDB1B05"/>
    <w:rsid w:val="2EDE6E27"/>
    <w:rsid w:val="2EE124DD"/>
    <w:rsid w:val="2EE32FFB"/>
    <w:rsid w:val="2EE70CD5"/>
    <w:rsid w:val="2EEF4A6B"/>
    <w:rsid w:val="2EFC3B1C"/>
    <w:rsid w:val="2F016955"/>
    <w:rsid w:val="2F0D112B"/>
    <w:rsid w:val="2F211370"/>
    <w:rsid w:val="2F397876"/>
    <w:rsid w:val="2F3A54E2"/>
    <w:rsid w:val="2F413369"/>
    <w:rsid w:val="2F4F5EEC"/>
    <w:rsid w:val="2F525F81"/>
    <w:rsid w:val="2F5551FE"/>
    <w:rsid w:val="2F583642"/>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E842B0"/>
    <w:rsid w:val="2FF51385"/>
    <w:rsid w:val="2FF714B8"/>
    <w:rsid w:val="2FFE0E4A"/>
    <w:rsid w:val="30032FEE"/>
    <w:rsid w:val="300635B2"/>
    <w:rsid w:val="300D11EE"/>
    <w:rsid w:val="30214C7E"/>
    <w:rsid w:val="302F6ADD"/>
    <w:rsid w:val="303A4542"/>
    <w:rsid w:val="3042487F"/>
    <w:rsid w:val="30424B95"/>
    <w:rsid w:val="304D5D1A"/>
    <w:rsid w:val="304F6507"/>
    <w:rsid w:val="305B6E73"/>
    <w:rsid w:val="305E79BD"/>
    <w:rsid w:val="30624751"/>
    <w:rsid w:val="307C63D6"/>
    <w:rsid w:val="3081657F"/>
    <w:rsid w:val="308510AC"/>
    <w:rsid w:val="309D0C02"/>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4E4A7A"/>
    <w:rsid w:val="317B6247"/>
    <w:rsid w:val="317E05A4"/>
    <w:rsid w:val="3184584E"/>
    <w:rsid w:val="31890AFA"/>
    <w:rsid w:val="319358D6"/>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AE0FBD"/>
    <w:rsid w:val="32B44688"/>
    <w:rsid w:val="32D23AA1"/>
    <w:rsid w:val="32E7237C"/>
    <w:rsid w:val="32FA4E00"/>
    <w:rsid w:val="33050A99"/>
    <w:rsid w:val="33097FCB"/>
    <w:rsid w:val="330F07F9"/>
    <w:rsid w:val="331E1AA2"/>
    <w:rsid w:val="33236153"/>
    <w:rsid w:val="3325361E"/>
    <w:rsid w:val="332C6DB4"/>
    <w:rsid w:val="333971B7"/>
    <w:rsid w:val="33407A22"/>
    <w:rsid w:val="3343097A"/>
    <w:rsid w:val="33684AED"/>
    <w:rsid w:val="3368695C"/>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1E6210"/>
    <w:rsid w:val="35200F8A"/>
    <w:rsid w:val="352C21B2"/>
    <w:rsid w:val="352E3103"/>
    <w:rsid w:val="353D699B"/>
    <w:rsid w:val="35441378"/>
    <w:rsid w:val="354C204D"/>
    <w:rsid w:val="35533710"/>
    <w:rsid w:val="35616185"/>
    <w:rsid w:val="356C7D73"/>
    <w:rsid w:val="357E1639"/>
    <w:rsid w:val="35834702"/>
    <w:rsid w:val="3586245B"/>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07170"/>
    <w:rsid w:val="36404B8B"/>
    <w:rsid w:val="36471A5E"/>
    <w:rsid w:val="364931EB"/>
    <w:rsid w:val="364B0623"/>
    <w:rsid w:val="3667341B"/>
    <w:rsid w:val="36751470"/>
    <w:rsid w:val="368570BB"/>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B4844"/>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BB4ED2"/>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D2A09"/>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793FAF"/>
    <w:rsid w:val="3C816E1B"/>
    <w:rsid w:val="3C831660"/>
    <w:rsid w:val="3CBC4692"/>
    <w:rsid w:val="3CDC4055"/>
    <w:rsid w:val="3CDD5498"/>
    <w:rsid w:val="3CEA0930"/>
    <w:rsid w:val="3CF27B95"/>
    <w:rsid w:val="3CFF5A50"/>
    <w:rsid w:val="3D066B35"/>
    <w:rsid w:val="3D106EB6"/>
    <w:rsid w:val="3D181D6B"/>
    <w:rsid w:val="3D1C0B24"/>
    <w:rsid w:val="3D281E46"/>
    <w:rsid w:val="3D2D17BF"/>
    <w:rsid w:val="3D3C210D"/>
    <w:rsid w:val="3D575AE9"/>
    <w:rsid w:val="3D5A3B41"/>
    <w:rsid w:val="3D5F5D82"/>
    <w:rsid w:val="3D60278F"/>
    <w:rsid w:val="3D6636D8"/>
    <w:rsid w:val="3D676FE6"/>
    <w:rsid w:val="3D6C4DCE"/>
    <w:rsid w:val="3D7D68E8"/>
    <w:rsid w:val="3D816473"/>
    <w:rsid w:val="3D924D76"/>
    <w:rsid w:val="3D936176"/>
    <w:rsid w:val="3DA605F1"/>
    <w:rsid w:val="3DB624D6"/>
    <w:rsid w:val="3DC96A91"/>
    <w:rsid w:val="3DCE4212"/>
    <w:rsid w:val="3DD94742"/>
    <w:rsid w:val="3DE50A71"/>
    <w:rsid w:val="3DE64D3F"/>
    <w:rsid w:val="3DEF682D"/>
    <w:rsid w:val="3DF15DDC"/>
    <w:rsid w:val="3DF43ED5"/>
    <w:rsid w:val="3DFC219C"/>
    <w:rsid w:val="3DFF7E14"/>
    <w:rsid w:val="3E0B107A"/>
    <w:rsid w:val="3E1D3429"/>
    <w:rsid w:val="3E297137"/>
    <w:rsid w:val="3E320EDF"/>
    <w:rsid w:val="3E4B5902"/>
    <w:rsid w:val="3E5E47FF"/>
    <w:rsid w:val="3E620DC8"/>
    <w:rsid w:val="3E650593"/>
    <w:rsid w:val="3E675643"/>
    <w:rsid w:val="3E684068"/>
    <w:rsid w:val="3E7F51AE"/>
    <w:rsid w:val="3E895706"/>
    <w:rsid w:val="3E9111B3"/>
    <w:rsid w:val="3EA25B10"/>
    <w:rsid w:val="3EA41BA5"/>
    <w:rsid w:val="3EA9033A"/>
    <w:rsid w:val="3EAF72E4"/>
    <w:rsid w:val="3EB3388D"/>
    <w:rsid w:val="3EC25BCA"/>
    <w:rsid w:val="3ECC2D0E"/>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5E95"/>
    <w:rsid w:val="3F6E7226"/>
    <w:rsid w:val="3F7418AC"/>
    <w:rsid w:val="3F7B467C"/>
    <w:rsid w:val="3F7F4BFD"/>
    <w:rsid w:val="3F8534F2"/>
    <w:rsid w:val="3F8D44E0"/>
    <w:rsid w:val="3F8D6CDE"/>
    <w:rsid w:val="3F9C3E7C"/>
    <w:rsid w:val="3FB37803"/>
    <w:rsid w:val="3FBE27AD"/>
    <w:rsid w:val="3FC15165"/>
    <w:rsid w:val="3FEB0F5D"/>
    <w:rsid w:val="3FED37A2"/>
    <w:rsid w:val="3FF76865"/>
    <w:rsid w:val="3FF8C8EC"/>
    <w:rsid w:val="3FFEB7FE"/>
    <w:rsid w:val="40097753"/>
    <w:rsid w:val="400A538D"/>
    <w:rsid w:val="401041CC"/>
    <w:rsid w:val="401C0644"/>
    <w:rsid w:val="40377291"/>
    <w:rsid w:val="40385090"/>
    <w:rsid w:val="403D4075"/>
    <w:rsid w:val="40562B90"/>
    <w:rsid w:val="40581609"/>
    <w:rsid w:val="405F1454"/>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265775"/>
    <w:rsid w:val="41371FE0"/>
    <w:rsid w:val="415C087D"/>
    <w:rsid w:val="41604FAE"/>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A71CD"/>
    <w:rsid w:val="41EE0902"/>
    <w:rsid w:val="42080287"/>
    <w:rsid w:val="420D6792"/>
    <w:rsid w:val="42126EA7"/>
    <w:rsid w:val="4220489C"/>
    <w:rsid w:val="424832DC"/>
    <w:rsid w:val="425C5BCE"/>
    <w:rsid w:val="42605FC7"/>
    <w:rsid w:val="427449F7"/>
    <w:rsid w:val="427E1411"/>
    <w:rsid w:val="427E1440"/>
    <w:rsid w:val="42904B06"/>
    <w:rsid w:val="429D0824"/>
    <w:rsid w:val="42A97915"/>
    <w:rsid w:val="42AF6E21"/>
    <w:rsid w:val="42B61D72"/>
    <w:rsid w:val="42B95478"/>
    <w:rsid w:val="42BA26E7"/>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925A43"/>
    <w:rsid w:val="43A6091D"/>
    <w:rsid w:val="43A94C99"/>
    <w:rsid w:val="43AD047C"/>
    <w:rsid w:val="43B93CA1"/>
    <w:rsid w:val="43C12922"/>
    <w:rsid w:val="43C96CC1"/>
    <w:rsid w:val="43D95A5E"/>
    <w:rsid w:val="43DB681A"/>
    <w:rsid w:val="43E66B2A"/>
    <w:rsid w:val="43EF7DF5"/>
    <w:rsid w:val="43F75428"/>
    <w:rsid w:val="44062A2A"/>
    <w:rsid w:val="44064D7F"/>
    <w:rsid w:val="440E4906"/>
    <w:rsid w:val="440F21F4"/>
    <w:rsid w:val="440F23A5"/>
    <w:rsid w:val="441B2788"/>
    <w:rsid w:val="44312509"/>
    <w:rsid w:val="44353309"/>
    <w:rsid w:val="443D5C83"/>
    <w:rsid w:val="443E6111"/>
    <w:rsid w:val="444112B7"/>
    <w:rsid w:val="4442520B"/>
    <w:rsid w:val="4445734B"/>
    <w:rsid w:val="44486DE6"/>
    <w:rsid w:val="446270C6"/>
    <w:rsid w:val="44704880"/>
    <w:rsid w:val="447670D1"/>
    <w:rsid w:val="4477366C"/>
    <w:rsid w:val="447B38D0"/>
    <w:rsid w:val="448F0A9C"/>
    <w:rsid w:val="44970B52"/>
    <w:rsid w:val="44995A2D"/>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63F44"/>
    <w:rsid w:val="44FF12D4"/>
    <w:rsid w:val="4505615F"/>
    <w:rsid w:val="45195E19"/>
    <w:rsid w:val="451A08D6"/>
    <w:rsid w:val="451A4504"/>
    <w:rsid w:val="45216D6E"/>
    <w:rsid w:val="452D74DE"/>
    <w:rsid w:val="45444294"/>
    <w:rsid w:val="454E526B"/>
    <w:rsid w:val="45592647"/>
    <w:rsid w:val="45741404"/>
    <w:rsid w:val="4576199B"/>
    <w:rsid w:val="457D00B8"/>
    <w:rsid w:val="457F625C"/>
    <w:rsid w:val="45800E6C"/>
    <w:rsid w:val="45820B72"/>
    <w:rsid w:val="458379B3"/>
    <w:rsid w:val="459B604C"/>
    <w:rsid w:val="459F5856"/>
    <w:rsid w:val="45BB2BD6"/>
    <w:rsid w:val="45BC2771"/>
    <w:rsid w:val="45BE51CE"/>
    <w:rsid w:val="45C86013"/>
    <w:rsid w:val="45CD3D41"/>
    <w:rsid w:val="45DE78CC"/>
    <w:rsid w:val="45E16D57"/>
    <w:rsid w:val="45E83918"/>
    <w:rsid w:val="45F524BA"/>
    <w:rsid w:val="45F85B25"/>
    <w:rsid w:val="45FA5BAF"/>
    <w:rsid w:val="45FD1EC4"/>
    <w:rsid w:val="46010103"/>
    <w:rsid w:val="4606415C"/>
    <w:rsid w:val="460F365D"/>
    <w:rsid w:val="4612589E"/>
    <w:rsid w:val="462205A8"/>
    <w:rsid w:val="46495138"/>
    <w:rsid w:val="464C33C7"/>
    <w:rsid w:val="46753484"/>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8C550C"/>
    <w:rsid w:val="47921058"/>
    <w:rsid w:val="47980643"/>
    <w:rsid w:val="479F756D"/>
    <w:rsid w:val="47AC64AE"/>
    <w:rsid w:val="47AE2329"/>
    <w:rsid w:val="47BA20DB"/>
    <w:rsid w:val="47CD4EBC"/>
    <w:rsid w:val="47D34EEE"/>
    <w:rsid w:val="47D70350"/>
    <w:rsid w:val="47D96A40"/>
    <w:rsid w:val="47DC4C30"/>
    <w:rsid w:val="47E065A6"/>
    <w:rsid w:val="47E24A1D"/>
    <w:rsid w:val="47E459EC"/>
    <w:rsid w:val="47E528C3"/>
    <w:rsid w:val="47F851FE"/>
    <w:rsid w:val="48002186"/>
    <w:rsid w:val="48220C0B"/>
    <w:rsid w:val="48330D0B"/>
    <w:rsid w:val="483E6319"/>
    <w:rsid w:val="4844010E"/>
    <w:rsid w:val="484D70C0"/>
    <w:rsid w:val="485444BA"/>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851EDB"/>
    <w:rsid w:val="49CA7E3C"/>
    <w:rsid w:val="49D9493E"/>
    <w:rsid w:val="49E05DCB"/>
    <w:rsid w:val="49EB622C"/>
    <w:rsid w:val="49F50CB4"/>
    <w:rsid w:val="4A0028F7"/>
    <w:rsid w:val="4A060453"/>
    <w:rsid w:val="4A087489"/>
    <w:rsid w:val="4A2B1F5C"/>
    <w:rsid w:val="4A824219"/>
    <w:rsid w:val="4A8C305D"/>
    <w:rsid w:val="4A8E7E91"/>
    <w:rsid w:val="4A9713FB"/>
    <w:rsid w:val="4A9947DA"/>
    <w:rsid w:val="4A997593"/>
    <w:rsid w:val="4AA614AA"/>
    <w:rsid w:val="4AA828AB"/>
    <w:rsid w:val="4AB220B5"/>
    <w:rsid w:val="4ABE07D2"/>
    <w:rsid w:val="4AC01BED"/>
    <w:rsid w:val="4AC07531"/>
    <w:rsid w:val="4AC1656E"/>
    <w:rsid w:val="4AC24A28"/>
    <w:rsid w:val="4AC33E59"/>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4F4B50"/>
    <w:rsid w:val="4B5065E5"/>
    <w:rsid w:val="4B592E90"/>
    <w:rsid w:val="4B60501C"/>
    <w:rsid w:val="4B6E3FEB"/>
    <w:rsid w:val="4B7A6EA5"/>
    <w:rsid w:val="4B8A5383"/>
    <w:rsid w:val="4B8C1A55"/>
    <w:rsid w:val="4BA27782"/>
    <w:rsid w:val="4BA85532"/>
    <w:rsid w:val="4BAB6EB1"/>
    <w:rsid w:val="4BB340E6"/>
    <w:rsid w:val="4BC004F6"/>
    <w:rsid w:val="4BC2046B"/>
    <w:rsid w:val="4BC70568"/>
    <w:rsid w:val="4BCD4308"/>
    <w:rsid w:val="4BD732D2"/>
    <w:rsid w:val="4BEF7306"/>
    <w:rsid w:val="4BF5474B"/>
    <w:rsid w:val="4BF859A8"/>
    <w:rsid w:val="4BFD4DB2"/>
    <w:rsid w:val="4C05637C"/>
    <w:rsid w:val="4C0C70D3"/>
    <w:rsid w:val="4C0E7F9A"/>
    <w:rsid w:val="4C153B7D"/>
    <w:rsid w:val="4C252352"/>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2653F"/>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40BF7"/>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1D115E"/>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C43CE1"/>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490457"/>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33760D"/>
    <w:rsid w:val="514329D6"/>
    <w:rsid w:val="51511E2B"/>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176DF"/>
    <w:rsid w:val="52547186"/>
    <w:rsid w:val="52631321"/>
    <w:rsid w:val="526B2DEC"/>
    <w:rsid w:val="526B5EEE"/>
    <w:rsid w:val="527D67A7"/>
    <w:rsid w:val="529415EA"/>
    <w:rsid w:val="52AA140F"/>
    <w:rsid w:val="52AF3F38"/>
    <w:rsid w:val="52B33948"/>
    <w:rsid w:val="52C93BBE"/>
    <w:rsid w:val="52D05D9C"/>
    <w:rsid w:val="52DF5A77"/>
    <w:rsid w:val="52E113F5"/>
    <w:rsid w:val="52E2402D"/>
    <w:rsid w:val="530715FB"/>
    <w:rsid w:val="530C7D7F"/>
    <w:rsid w:val="530D0E70"/>
    <w:rsid w:val="53297E57"/>
    <w:rsid w:val="53324C7A"/>
    <w:rsid w:val="533F38E7"/>
    <w:rsid w:val="53404196"/>
    <w:rsid w:val="53420089"/>
    <w:rsid w:val="534C79BB"/>
    <w:rsid w:val="537D23DD"/>
    <w:rsid w:val="5384469F"/>
    <w:rsid w:val="53871AB1"/>
    <w:rsid w:val="538D6A67"/>
    <w:rsid w:val="539150CC"/>
    <w:rsid w:val="539802F4"/>
    <w:rsid w:val="539D2ACB"/>
    <w:rsid w:val="53A64776"/>
    <w:rsid w:val="53A74C89"/>
    <w:rsid w:val="53AC48CA"/>
    <w:rsid w:val="53AE5A8A"/>
    <w:rsid w:val="53C12731"/>
    <w:rsid w:val="53CF5237"/>
    <w:rsid w:val="53D20731"/>
    <w:rsid w:val="53D224D9"/>
    <w:rsid w:val="53D97E77"/>
    <w:rsid w:val="53DA6ABC"/>
    <w:rsid w:val="53E27E4A"/>
    <w:rsid w:val="53E355BF"/>
    <w:rsid w:val="53E8282F"/>
    <w:rsid w:val="53E857A6"/>
    <w:rsid w:val="53F83D31"/>
    <w:rsid w:val="53F86054"/>
    <w:rsid w:val="54061774"/>
    <w:rsid w:val="54084368"/>
    <w:rsid w:val="540E3ABB"/>
    <w:rsid w:val="5414200F"/>
    <w:rsid w:val="5415213B"/>
    <w:rsid w:val="54174D5D"/>
    <w:rsid w:val="541B216B"/>
    <w:rsid w:val="543A3A51"/>
    <w:rsid w:val="543B76CE"/>
    <w:rsid w:val="54441F03"/>
    <w:rsid w:val="544A61BE"/>
    <w:rsid w:val="5458604D"/>
    <w:rsid w:val="545B4B40"/>
    <w:rsid w:val="5465700C"/>
    <w:rsid w:val="54684A59"/>
    <w:rsid w:val="546F42E0"/>
    <w:rsid w:val="54735790"/>
    <w:rsid w:val="54805AA2"/>
    <w:rsid w:val="54811B92"/>
    <w:rsid w:val="54820F7A"/>
    <w:rsid w:val="54881F94"/>
    <w:rsid w:val="548A1AB1"/>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E75860"/>
    <w:rsid w:val="55FBDB48"/>
    <w:rsid w:val="55FF3C96"/>
    <w:rsid w:val="560010ED"/>
    <w:rsid w:val="560A1E7A"/>
    <w:rsid w:val="560C20A5"/>
    <w:rsid w:val="562C2FA6"/>
    <w:rsid w:val="562E13B9"/>
    <w:rsid w:val="56312196"/>
    <w:rsid w:val="563535D4"/>
    <w:rsid w:val="56353E08"/>
    <w:rsid w:val="56362C3B"/>
    <w:rsid w:val="563C154B"/>
    <w:rsid w:val="564B4F61"/>
    <w:rsid w:val="564C6A6F"/>
    <w:rsid w:val="56506BA6"/>
    <w:rsid w:val="565D32EE"/>
    <w:rsid w:val="56682B4C"/>
    <w:rsid w:val="5668633D"/>
    <w:rsid w:val="566D65BC"/>
    <w:rsid w:val="56707213"/>
    <w:rsid w:val="56757DE9"/>
    <w:rsid w:val="5677517B"/>
    <w:rsid w:val="56882964"/>
    <w:rsid w:val="568E5C2E"/>
    <w:rsid w:val="569269BE"/>
    <w:rsid w:val="56946918"/>
    <w:rsid w:val="569D0DCD"/>
    <w:rsid w:val="569F741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225A2"/>
    <w:rsid w:val="581663A7"/>
    <w:rsid w:val="581A6136"/>
    <w:rsid w:val="581B7339"/>
    <w:rsid w:val="583339EA"/>
    <w:rsid w:val="585144AA"/>
    <w:rsid w:val="58567D64"/>
    <w:rsid w:val="585C110C"/>
    <w:rsid w:val="586057AB"/>
    <w:rsid w:val="58651B4D"/>
    <w:rsid w:val="586578BF"/>
    <w:rsid w:val="58730A21"/>
    <w:rsid w:val="587A70C6"/>
    <w:rsid w:val="588D7EB4"/>
    <w:rsid w:val="589947D3"/>
    <w:rsid w:val="589A4F5C"/>
    <w:rsid w:val="58A75020"/>
    <w:rsid w:val="58B32D3F"/>
    <w:rsid w:val="58C0349D"/>
    <w:rsid w:val="58C94687"/>
    <w:rsid w:val="58D52827"/>
    <w:rsid w:val="58DE49F6"/>
    <w:rsid w:val="58F7247A"/>
    <w:rsid w:val="590413BD"/>
    <w:rsid w:val="5913289D"/>
    <w:rsid w:val="5919795C"/>
    <w:rsid w:val="59232537"/>
    <w:rsid w:val="592F245D"/>
    <w:rsid w:val="593D3B58"/>
    <w:rsid w:val="59440619"/>
    <w:rsid w:val="5945315F"/>
    <w:rsid w:val="594720D1"/>
    <w:rsid w:val="59570C35"/>
    <w:rsid w:val="596326A9"/>
    <w:rsid w:val="596560C8"/>
    <w:rsid w:val="59700257"/>
    <w:rsid w:val="59724E0E"/>
    <w:rsid w:val="597252E0"/>
    <w:rsid w:val="597D3815"/>
    <w:rsid w:val="59830A4E"/>
    <w:rsid w:val="598B4B87"/>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047541"/>
    <w:rsid w:val="5A1560F8"/>
    <w:rsid w:val="5A17068E"/>
    <w:rsid w:val="5A1D02C8"/>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804DC"/>
    <w:rsid w:val="5A89045B"/>
    <w:rsid w:val="5A8A094A"/>
    <w:rsid w:val="5A8A61C8"/>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059E8"/>
    <w:rsid w:val="5B565B4F"/>
    <w:rsid w:val="5B585CC5"/>
    <w:rsid w:val="5B5911EA"/>
    <w:rsid w:val="5B5B6C7F"/>
    <w:rsid w:val="5B5F167F"/>
    <w:rsid w:val="5B73596C"/>
    <w:rsid w:val="5B8E3166"/>
    <w:rsid w:val="5B903475"/>
    <w:rsid w:val="5B982E7E"/>
    <w:rsid w:val="5B9B660C"/>
    <w:rsid w:val="5BBE4F50"/>
    <w:rsid w:val="5BD1505A"/>
    <w:rsid w:val="5BD92BA9"/>
    <w:rsid w:val="5BDD29C3"/>
    <w:rsid w:val="5BDE6F14"/>
    <w:rsid w:val="5C046156"/>
    <w:rsid w:val="5C0A3BB7"/>
    <w:rsid w:val="5C0A68F9"/>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9B05B1"/>
    <w:rsid w:val="5CA3373E"/>
    <w:rsid w:val="5CA55250"/>
    <w:rsid w:val="5CB7487F"/>
    <w:rsid w:val="5CBA2E24"/>
    <w:rsid w:val="5CBE4851"/>
    <w:rsid w:val="5CBF7942"/>
    <w:rsid w:val="5CD35634"/>
    <w:rsid w:val="5CD80A4C"/>
    <w:rsid w:val="5CE15547"/>
    <w:rsid w:val="5CF22A1A"/>
    <w:rsid w:val="5CF3304A"/>
    <w:rsid w:val="5CF55D68"/>
    <w:rsid w:val="5CF97C9E"/>
    <w:rsid w:val="5D0B42DC"/>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C567E9"/>
    <w:rsid w:val="5DD07EF8"/>
    <w:rsid w:val="5DD15393"/>
    <w:rsid w:val="5DD67626"/>
    <w:rsid w:val="5DDA2597"/>
    <w:rsid w:val="5DDB6BAB"/>
    <w:rsid w:val="5DE93770"/>
    <w:rsid w:val="5DEF5FD6"/>
    <w:rsid w:val="5DFB1089"/>
    <w:rsid w:val="5E077A77"/>
    <w:rsid w:val="5E087EA2"/>
    <w:rsid w:val="5E0D67C6"/>
    <w:rsid w:val="5E2775CA"/>
    <w:rsid w:val="5E294315"/>
    <w:rsid w:val="5E295856"/>
    <w:rsid w:val="5E2A2D6E"/>
    <w:rsid w:val="5E330F25"/>
    <w:rsid w:val="5E34743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3175F"/>
    <w:rsid w:val="5F2B03F6"/>
    <w:rsid w:val="5F357F56"/>
    <w:rsid w:val="5F407373"/>
    <w:rsid w:val="5F437782"/>
    <w:rsid w:val="5F462070"/>
    <w:rsid w:val="5F494C21"/>
    <w:rsid w:val="5F4C1967"/>
    <w:rsid w:val="5F4C40F2"/>
    <w:rsid w:val="5F675362"/>
    <w:rsid w:val="5F76465B"/>
    <w:rsid w:val="5F7E19A1"/>
    <w:rsid w:val="5F881135"/>
    <w:rsid w:val="5F8C0EF8"/>
    <w:rsid w:val="5F8D0E05"/>
    <w:rsid w:val="5F9537D5"/>
    <w:rsid w:val="5F991BCB"/>
    <w:rsid w:val="5FB52496"/>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787038"/>
    <w:rsid w:val="607E396C"/>
    <w:rsid w:val="60802E35"/>
    <w:rsid w:val="60811FD8"/>
    <w:rsid w:val="60AB25C5"/>
    <w:rsid w:val="60AF1513"/>
    <w:rsid w:val="60B011C0"/>
    <w:rsid w:val="60B17A56"/>
    <w:rsid w:val="60BB7B96"/>
    <w:rsid w:val="60BD0A74"/>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2421"/>
    <w:rsid w:val="618B5C3B"/>
    <w:rsid w:val="6194428A"/>
    <w:rsid w:val="61A20BAF"/>
    <w:rsid w:val="61A8370C"/>
    <w:rsid w:val="61AC7C3E"/>
    <w:rsid w:val="61C544D0"/>
    <w:rsid w:val="61C557FB"/>
    <w:rsid w:val="61CA71FC"/>
    <w:rsid w:val="61D12A7D"/>
    <w:rsid w:val="61DD6C29"/>
    <w:rsid w:val="61DD7269"/>
    <w:rsid w:val="61DE687D"/>
    <w:rsid w:val="61E14F18"/>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706ED"/>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C905D2"/>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2819F6"/>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9FFC17"/>
    <w:rsid w:val="64A57EA9"/>
    <w:rsid w:val="64BB5402"/>
    <w:rsid w:val="64BD0DE2"/>
    <w:rsid w:val="64D662E6"/>
    <w:rsid w:val="64E333A8"/>
    <w:rsid w:val="64EA733A"/>
    <w:rsid w:val="64EB1253"/>
    <w:rsid w:val="650548C8"/>
    <w:rsid w:val="650906B2"/>
    <w:rsid w:val="650E29E3"/>
    <w:rsid w:val="651725E2"/>
    <w:rsid w:val="652A523F"/>
    <w:rsid w:val="65381046"/>
    <w:rsid w:val="65405E19"/>
    <w:rsid w:val="654D2F79"/>
    <w:rsid w:val="65617866"/>
    <w:rsid w:val="656941D2"/>
    <w:rsid w:val="6570194C"/>
    <w:rsid w:val="65741253"/>
    <w:rsid w:val="657933B4"/>
    <w:rsid w:val="658629E2"/>
    <w:rsid w:val="65886C35"/>
    <w:rsid w:val="65892994"/>
    <w:rsid w:val="65A321ED"/>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A52B7"/>
    <w:rsid w:val="667E00F5"/>
    <w:rsid w:val="668652F7"/>
    <w:rsid w:val="668C6CE7"/>
    <w:rsid w:val="66900CCE"/>
    <w:rsid w:val="66910EB8"/>
    <w:rsid w:val="6694063C"/>
    <w:rsid w:val="66972D8E"/>
    <w:rsid w:val="669B2422"/>
    <w:rsid w:val="66A5721B"/>
    <w:rsid w:val="66B37847"/>
    <w:rsid w:val="66B80708"/>
    <w:rsid w:val="66BD4C82"/>
    <w:rsid w:val="66C224BB"/>
    <w:rsid w:val="66D953C4"/>
    <w:rsid w:val="66D9632C"/>
    <w:rsid w:val="66E45649"/>
    <w:rsid w:val="66E63A20"/>
    <w:rsid w:val="66F76FD0"/>
    <w:rsid w:val="66F9395F"/>
    <w:rsid w:val="66FD5708"/>
    <w:rsid w:val="66FF2DB2"/>
    <w:rsid w:val="67030DFA"/>
    <w:rsid w:val="67044237"/>
    <w:rsid w:val="67074134"/>
    <w:rsid w:val="670D1283"/>
    <w:rsid w:val="671615FF"/>
    <w:rsid w:val="67175BC5"/>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25DA7"/>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2209F"/>
    <w:rsid w:val="68363F74"/>
    <w:rsid w:val="683659CB"/>
    <w:rsid w:val="684B46A6"/>
    <w:rsid w:val="684D303D"/>
    <w:rsid w:val="685A4162"/>
    <w:rsid w:val="68702350"/>
    <w:rsid w:val="68767581"/>
    <w:rsid w:val="68810A52"/>
    <w:rsid w:val="6884668C"/>
    <w:rsid w:val="6888364F"/>
    <w:rsid w:val="689641FE"/>
    <w:rsid w:val="68A3215E"/>
    <w:rsid w:val="68B07FC2"/>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126A9"/>
    <w:rsid w:val="695A62A9"/>
    <w:rsid w:val="696E4DB1"/>
    <w:rsid w:val="69831A73"/>
    <w:rsid w:val="69833B52"/>
    <w:rsid w:val="69840A36"/>
    <w:rsid w:val="69862472"/>
    <w:rsid w:val="698C6058"/>
    <w:rsid w:val="69925B41"/>
    <w:rsid w:val="69976019"/>
    <w:rsid w:val="69A34249"/>
    <w:rsid w:val="69A60CBC"/>
    <w:rsid w:val="69B339A6"/>
    <w:rsid w:val="69B665F3"/>
    <w:rsid w:val="69C932A9"/>
    <w:rsid w:val="69CD2E33"/>
    <w:rsid w:val="69CE2C9D"/>
    <w:rsid w:val="69DC4528"/>
    <w:rsid w:val="69E74B20"/>
    <w:rsid w:val="69EB5FCC"/>
    <w:rsid w:val="69F63188"/>
    <w:rsid w:val="6A063C23"/>
    <w:rsid w:val="6A0B175E"/>
    <w:rsid w:val="6A0B1C3A"/>
    <w:rsid w:val="6A101F75"/>
    <w:rsid w:val="6A1874E7"/>
    <w:rsid w:val="6A282B66"/>
    <w:rsid w:val="6A283620"/>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ED7485"/>
    <w:rsid w:val="6AF666D5"/>
    <w:rsid w:val="6B070AB1"/>
    <w:rsid w:val="6B112020"/>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A65103"/>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40C7A"/>
    <w:rsid w:val="6D06792F"/>
    <w:rsid w:val="6D0A162F"/>
    <w:rsid w:val="6D134407"/>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809EB"/>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31557"/>
    <w:rsid w:val="6EF632B9"/>
    <w:rsid w:val="6EFB2B08"/>
    <w:rsid w:val="6EFB6912"/>
    <w:rsid w:val="6EFC3116"/>
    <w:rsid w:val="6F0303A8"/>
    <w:rsid w:val="6F0C63D7"/>
    <w:rsid w:val="6F0E6EA0"/>
    <w:rsid w:val="6F0E7B8B"/>
    <w:rsid w:val="6F24560B"/>
    <w:rsid w:val="6F250967"/>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3A942"/>
    <w:rsid w:val="6FB7533C"/>
    <w:rsid w:val="6FBD44AB"/>
    <w:rsid w:val="6FC61949"/>
    <w:rsid w:val="6FCE771B"/>
    <w:rsid w:val="6FD14A24"/>
    <w:rsid w:val="6FD80473"/>
    <w:rsid w:val="6FD842D4"/>
    <w:rsid w:val="6FE0254F"/>
    <w:rsid w:val="6FE66281"/>
    <w:rsid w:val="6FE82829"/>
    <w:rsid w:val="6FF80816"/>
    <w:rsid w:val="6FFBF45B"/>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305"/>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CE2959"/>
    <w:rsid w:val="72DF2D54"/>
    <w:rsid w:val="72E74987"/>
    <w:rsid w:val="72F13359"/>
    <w:rsid w:val="72F36F06"/>
    <w:rsid w:val="72F42BA6"/>
    <w:rsid w:val="72F96FC3"/>
    <w:rsid w:val="72FA494D"/>
    <w:rsid w:val="730243B3"/>
    <w:rsid w:val="731044FE"/>
    <w:rsid w:val="7321765C"/>
    <w:rsid w:val="73337CF8"/>
    <w:rsid w:val="73391467"/>
    <w:rsid w:val="734202CC"/>
    <w:rsid w:val="73486B09"/>
    <w:rsid w:val="734A78BD"/>
    <w:rsid w:val="73534DF4"/>
    <w:rsid w:val="736173E3"/>
    <w:rsid w:val="7363222B"/>
    <w:rsid w:val="736C3816"/>
    <w:rsid w:val="736E68EE"/>
    <w:rsid w:val="736F76A9"/>
    <w:rsid w:val="73702680"/>
    <w:rsid w:val="73721F07"/>
    <w:rsid w:val="737A7603"/>
    <w:rsid w:val="737D693A"/>
    <w:rsid w:val="73871F56"/>
    <w:rsid w:val="73872ED1"/>
    <w:rsid w:val="738F1601"/>
    <w:rsid w:val="73992BDC"/>
    <w:rsid w:val="73A40A5F"/>
    <w:rsid w:val="73A47EFB"/>
    <w:rsid w:val="73AA0B80"/>
    <w:rsid w:val="73BA1774"/>
    <w:rsid w:val="73BD0ECB"/>
    <w:rsid w:val="73C064F4"/>
    <w:rsid w:val="73C42BD2"/>
    <w:rsid w:val="73C4341B"/>
    <w:rsid w:val="73D87220"/>
    <w:rsid w:val="73E16E48"/>
    <w:rsid w:val="73F77ED0"/>
    <w:rsid w:val="73F79C6A"/>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0F1FCC"/>
    <w:rsid w:val="751550D8"/>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712F8"/>
    <w:rsid w:val="757C09D4"/>
    <w:rsid w:val="75867A8C"/>
    <w:rsid w:val="75A42F6D"/>
    <w:rsid w:val="75A77B96"/>
    <w:rsid w:val="75AF5CF5"/>
    <w:rsid w:val="75D65EDE"/>
    <w:rsid w:val="75D82A72"/>
    <w:rsid w:val="75E0573C"/>
    <w:rsid w:val="75E746A2"/>
    <w:rsid w:val="75F23D58"/>
    <w:rsid w:val="75F26586"/>
    <w:rsid w:val="75F7301D"/>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D49B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DF496F"/>
    <w:rsid w:val="77EFA966"/>
    <w:rsid w:val="77FC7EA1"/>
    <w:rsid w:val="77FF1A8B"/>
    <w:rsid w:val="78030BB3"/>
    <w:rsid w:val="780C4D7B"/>
    <w:rsid w:val="78183D62"/>
    <w:rsid w:val="781E5BB3"/>
    <w:rsid w:val="78291A3D"/>
    <w:rsid w:val="78376779"/>
    <w:rsid w:val="7840644C"/>
    <w:rsid w:val="784844F0"/>
    <w:rsid w:val="78646F4B"/>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6B46F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853344"/>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33245"/>
    <w:rsid w:val="7C257F05"/>
    <w:rsid w:val="7C2B29AB"/>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3E5ADD"/>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A60DF8"/>
    <w:rsid w:val="7DB4614C"/>
    <w:rsid w:val="7DBF1D7F"/>
    <w:rsid w:val="7DC9253D"/>
    <w:rsid w:val="7DE37918"/>
    <w:rsid w:val="7DE750E1"/>
    <w:rsid w:val="7DF232D8"/>
    <w:rsid w:val="7DF44714"/>
    <w:rsid w:val="7DFC6FC2"/>
    <w:rsid w:val="7E135DA3"/>
    <w:rsid w:val="7E175904"/>
    <w:rsid w:val="7E2D3630"/>
    <w:rsid w:val="7E2F2179"/>
    <w:rsid w:val="7E314AA9"/>
    <w:rsid w:val="7E3225E2"/>
    <w:rsid w:val="7E352319"/>
    <w:rsid w:val="7E41672B"/>
    <w:rsid w:val="7E564D83"/>
    <w:rsid w:val="7E5D4B58"/>
    <w:rsid w:val="7E691AAA"/>
    <w:rsid w:val="7E755EAD"/>
    <w:rsid w:val="7E784DF4"/>
    <w:rsid w:val="7E7E54AA"/>
    <w:rsid w:val="7E7F6B70"/>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7F49FD"/>
    <w:rsid w:val="7F8117EC"/>
    <w:rsid w:val="7F817243"/>
    <w:rsid w:val="7F890CD0"/>
    <w:rsid w:val="7F8F3A6E"/>
    <w:rsid w:val="7F9E0549"/>
    <w:rsid w:val="7FA42036"/>
    <w:rsid w:val="7FC9636E"/>
    <w:rsid w:val="7FCD746C"/>
    <w:rsid w:val="7FD81D4E"/>
    <w:rsid w:val="7FE02A21"/>
    <w:rsid w:val="7FF47517"/>
    <w:rsid w:val="7FF6033D"/>
    <w:rsid w:val="7FF7676B"/>
    <w:rsid w:val="7FFB6B53"/>
    <w:rsid w:val="7FFF6D18"/>
    <w:rsid w:val="AF5F3213"/>
    <w:rsid w:val="BD775988"/>
    <w:rsid w:val="BDDF8850"/>
    <w:rsid w:val="CEFE1B0F"/>
    <w:rsid w:val="D1DB143C"/>
    <w:rsid w:val="D8DBDFCB"/>
    <w:rsid w:val="D91B62D2"/>
    <w:rsid w:val="DF3D31A9"/>
    <w:rsid w:val="DFB51B1F"/>
    <w:rsid w:val="DFBFE82A"/>
    <w:rsid w:val="DFCFE88C"/>
    <w:rsid w:val="EB7E5AE3"/>
    <w:rsid w:val="ED7FAE99"/>
    <w:rsid w:val="FBFD3E1C"/>
    <w:rsid w:val="FF6AD12C"/>
    <w:rsid w:val="FFBDF923"/>
    <w:rsid w:val="FFEFC4A9"/>
    <w:rsid w:val="FFEFFDBD"/>
    <w:rsid w:val="FFFCE37D"/>
    <w:rsid w:val="FFFFC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2702</Words>
  <Characters>15407</Characters>
  <Lines>128</Lines>
  <Paragraphs>36</Paragraphs>
  <TotalTime>9</TotalTime>
  <ScaleCrop>false</ScaleCrop>
  <LinksUpToDate>false</LinksUpToDate>
  <CharactersWithSpaces>18073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2021-08-07T19:57:00Z</dcterms:created>
  <dc:creator>ZTE</dc:creator>
  <cp:lastModifiedBy>ZTE-Yang Ling</cp:lastModifiedBy>
  <cp:lastPrinted>2018-02-19T15:29:00Z</cp:lastPrinted>
  <dcterms:modified xsi:type="dcterms:W3CDTF">2022-01-11T14:42:04Z</dcterms:modified>
  <dc:title>3GPP TSG RAN WG1 #102-e	R1-20xxxxx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